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rPr>
          <w:i/>
        </w:rPr>
      </w:pPr>
      <w:r>
        <w:rPr/>
        <w:drawing>
          <wp:anchor distT="0" distB="0" distL="0" distR="0" allowOverlap="1" layoutInCell="1" locked="0" behindDoc="0" simplePos="0" relativeHeight="251665408">
            <wp:simplePos x="0" y="0"/>
            <wp:positionH relativeFrom="page">
              <wp:posOffset>8772525</wp:posOffset>
            </wp:positionH>
            <wp:positionV relativeFrom="paragraph">
              <wp:posOffset>1289</wp:posOffset>
            </wp:positionV>
            <wp:extent cx="1724659" cy="7181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24659" cy="718159"/>
                    </a:xfrm>
                    <a:prstGeom prst="rect">
                      <a:avLst/>
                    </a:prstGeom>
                  </pic:spPr>
                </pic:pic>
              </a:graphicData>
            </a:graphic>
          </wp:anchor>
        </w:drawing>
      </w:r>
      <w:r>
        <w:rPr>
          <w:i/>
        </w:rPr>
        <w:t>On discharge, please ensure this authorisation form is transferred with the patient. Thank you.</w:t>
      </w:r>
    </w:p>
    <w:p>
      <w:pPr>
        <w:spacing w:before="60"/>
        <w:ind w:left="372" w:right="0" w:firstLine="0"/>
        <w:jc w:val="left"/>
        <w:rPr>
          <w:sz w:val="36"/>
        </w:rPr>
      </w:pPr>
      <w:r>
        <w:rPr>
          <w:sz w:val="36"/>
        </w:rPr>
        <w:t>Community </w:t>
      </w:r>
      <w:r>
        <w:rPr>
          <w:b/>
          <w:sz w:val="40"/>
        </w:rPr>
        <w:t>SYRINGE DRIVER </w:t>
      </w:r>
      <w:r>
        <w:rPr>
          <w:sz w:val="36"/>
        </w:rPr>
        <w:t>Medication Authorisation</w:t>
      </w:r>
    </w:p>
    <w:p>
      <w:pPr>
        <w:spacing w:before="118"/>
        <w:ind w:left="372" w:right="0" w:firstLine="0"/>
        <w:jc w:val="left"/>
        <w:rPr>
          <w:rFonts w:ascii="Calibri"/>
          <w:sz w:val="22"/>
        </w:rPr>
      </w:pPr>
      <w:r>
        <w:rPr>
          <w:b/>
          <w:i/>
          <w:sz w:val="24"/>
        </w:rPr>
        <w:t>ONLY START THOSE MEDICATIONS CLINICALLY INDICATED. </w:t>
      </w:r>
      <w:r>
        <w:rPr>
          <w:rFonts w:ascii="Calibri"/>
          <w:sz w:val="22"/>
        </w:rPr>
        <w:t>Adjustments within dose ranges</w:t>
      </w:r>
    </w:p>
    <w:p>
      <w:pPr>
        <w:pStyle w:val="BodyText"/>
        <w:ind w:left="372"/>
      </w:pPr>
      <w:r>
        <w:rPr/>
        <w:t>should be justified by symptoms &amp; any current or previous medicines administered. Please record changes &amp; reasoning in the patients’ clinical record.</w:t>
      </w:r>
    </w:p>
    <w:p>
      <w:pPr>
        <w:pStyle w:val="BodyText"/>
        <w:spacing w:before="10"/>
        <w:rPr>
          <w:sz w:val="11"/>
        </w:rPr>
      </w:pPr>
    </w:p>
    <w:p>
      <w:pPr>
        <w:spacing w:line="240" w:lineRule="auto"/>
        <w:ind w:left="69" w:right="0" w:firstLine="0"/>
        <w:rPr>
          <w:rFonts w:ascii="Calibri"/>
          <w:sz w:val="20"/>
        </w:rPr>
      </w:pPr>
      <w:r>
        <w:rPr>
          <w:rFonts w:ascii="Calibri"/>
          <w:position w:val="9"/>
          <w:sz w:val="20"/>
        </w:rPr>
        <w:pict>
          <v:group style="width:208.35pt;height:412.3pt;mso-position-horizontal-relative:char;mso-position-vertical-relative:line" coordorigin="0,0" coordsize="4167,8246">
            <v:line style="position:absolute" from="22,5" to="1431,5" stroked="true" strokeweight=".48pt" strokecolor="#000000">
              <v:stroke dashstyle="solid"/>
            </v:line>
            <v:rect style="position:absolute;left:1430;top:0;width:10;height:10" filled="true" fillcolor="#000000" stroked="false">
              <v:fill type="solid"/>
            </v:rect>
            <v:line style="position:absolute" from="1440,5" to="4119,5" stroked="true" strokeweight=".48pt" strokecolor="#000000">
              <v:stroke dashstyle="solid"/>
            </v:line>
            <v:line style="position:absolute" from="22,1632" to="439,1632" stroked="true" strokeweight=".48pt" strokecolor="#000000">
              <v:stroke dashstyle="solid"/>
            </v:line>
            <v:rect style="position:absolute;left:439;top:1627;width:10;height:10" filled="true" fillcolor="#000000" stroked="false">
              <v:fill type="solid"/>
            </v:rect>
            <v:line style="position:absolute" from="449,1632" to="4119,1632" stroked="true" strokeweight=".48pt" strokecolor="#000000">
              <v:stroke dashstyle="solid"/>
            </v:line>
            <v:line style="position:absolute" from="17,0" to="17,2595" stroked="true" strokeweight=".48pt" strokecolor="#000000">
              <v:stroke dashstyle="solid"/>
            </v:line>
            <v:line style="position:absolute" from="1431,410" to="1714,410" stroked="true" strokeweight=".48pt" strokecolor="#000000">
              <v:stroke dashstyle="solid"/>
            </v:line>
            <v:rect style="position:absolute;left:1714;top:405;width:10;height:10" filled="true" fillcolor="#000000" stroked="false">
              <v:fill type="solid"/>
            </v:rect>
            <v:line style="position:absolute" from="1724,410" to="2664,410" stroked="true" strokeweight=".48pt" strokecolor="#000000">
              <v:stroke dashstyle="solid"/>
            </v:line>
            <v:rect style="position:absolute;left:2664;top:405;width:10;height:10" filled="true" fillcolor="#000000" stroked="false">
              <v:fill type="solid"/>
            </v:rect>
            <v:line style="position:absolute" from="2674,410" to="4119,410" stroked="true" strokeweight=".48pt" strokecolor="#000000">
              <v:stroke dashstyle="solid"/>
            </v:line>
            <v:line style="position:absolute" from="2664,818" to="4119,818" stroked="true" strokeweight=".48pt" strokecolor="#000000">
              <v:stroke dashstyle="solid"/>
            </v:line>
            <v:line style="position:absolute" from="1006,1226" to="4119,1226" stroked="true" strokeweight=".48pt" strokecolor="#000000">
              <v:stroke dashstyle="solid"/>
            </v:line>
            <v:line style="position:absolute" from="439,2041" to="864,2041" stroked="true" strokeweight=".48pt" strokecolor="#000000">
              <v:stroke dashstyle="solid"/>
            </v:line>
            <v:rect style="position:absolute;left:864;top:2035;width:10;height:10" filled="true" fillcolor="#000000" stroked="false">
              <v:fill type="solid"/>
            </v:rect>
            <v:line style="position:absolute" from="874,2041" to="4119,2041" stroked="true" strokeweight=".48pt" strokecolor="#000000">
              <v:stroke dashstyle="solid"/>
            </v:line>
            <v:line style="position:absolute" from="864,2446" to="1388,2446" stroked="true" strokeweight=".48pt" strokecolor="#000000">
              <v:stroke dashstyle="solid"/>
            </v:line>
            <v:rect style="position:absolute;left:1387;top:2441;width:10;height:10" filled="true" fillcolor="#000000" stroked="false">
              <v:fill type="solid"/>
            </v:rect>
            <v:line style="position:absolute" from="1397,2446" to="4119,2446" stroked="true" strokeweight=".48pt" strokecolor="#000000">
              <v:stroke dashstyle="solid"/>
            </v:line>
            <v:line style="position:absolute" from="4124,0" to="4124,2595" stroked="true" strokeweight=".48pt" strokecolor="#000000">
              <v:stroke dashstyle="solid"/>
            </v:line>
            <v:rect style="position:absolute;left:2;top:2595;width:58;height:15" filled="true" fillcolor="#000000" stroked="false">
              <v:fill type="solid"/>
            </v:rect>
            <v:rect style="position:absolute;left:60;top:2595;width:89;height:15" filled="true" fillcolor="#000000" stroked="false">
              <v:fill type="solid"/>
            </v:rect>
            <v:rect style="position:absolute;left:60;top:2623;width:89;height:60" filled="true" fillcolor="#000000" stroked="false">
              <v:fill type="solid"/>
            </v:rect>
            <v:line style="position:absolute" from="149,2602" to="542,2602" stroked="true" strokeweight=".72pt" strokecolor="#000000">
              <v:stroke dashstyle="solid"/>
            </v:line>
            <v:line style="position:absolute" from="149,2654" to="542,2654" stroked="true" strokeweight="3pt" strokecolor="#000000">
              <v:stroke dashstyle="solid"/>
            </v:line>
            <v:rect style="position:absolute;left:542;top:2595;width:89;height:15" filled="true" fillcolor="#000000" stroked="false">
              <v:fill type="solid"/>
            </v:rect>
            <v:rect style="position:absolute;left:542;top:2623;width:89;height:60" filled="true" fillcolor="#000000" stroked="false">
              <v:fill type="solid"/>
            </v:rect>
            <v:line style="position:absolute" from="631,2602" to="1388,2602" stroked="true" strokeweight=".72pt" strokecolor="#000000">
              <v:stroke dashstyle="solid"/>
            </v:line>
            <v:line style="position:absolute" from="631,2654" to="1388,2654" stroked="true" strokeweight="3pt" strokecolor="#000000">
              <v:stroke dashstyle="solid"/>
            </v:line>
            <v:rect style="position:absolute;left:1387;top:2595;width:89;height:15" filled="true" fillcolor="#000000" stroked="false">
              <v:fill type="solid"/>
            </v:rect>
            <v:rect style="position:absolute;left:1387;top:2623;width:89;height:60" filled="true" fillcolor="#000000" stroked="false">
              <v:fill type="solid"/>
            </v:rect>
            <v:line style="position:absolute" from="1476,2602" to="4078,2602" stroked="true" strokeweight=".72pt" strokecolor="#000000">
              <v:stroke dashstyle="solid"/>
            </v:line>
            <v:line style="position:absolute" from="1476,2654" to="4078,2654" stroked="true" strokeweight="3pt" strokecolor="#000000">
              <v:stroke dashstyle="solid"/>
            </v:line>
            <v:rect style="position:absolute;left:4078;top:2595;width:89;height:15" filled="true" fillcolor="#000000" stroked="false">
              <v:fill type="solid"/>
            </v:rect>
            <v:line style="position:absolute" from="30,2624" to="30,4842" stroked="true" strokeweight="3pt" strokecolor="#000000">
              <v:stroke dashstyle="solid"/>
            </v:line>
            <v:line style="position:absolute" from="4108,2624" to="4108,4842" stroked="true" strokeweight="3pt" strokecolor="#000000">
              <v:stroke dashstyle="solid"/>
            </v:line>
            <v:line style="position:absolute" from="60,4835" to="4078,4835" stroked="true" strokeweight=".72pt" strokecolor="#000000">
              <v:stroke dashstyle="solid"/>
            </v:line>
            <v:line style="position:absolute" from="60,4886" to="4078,4886" stroked="true" strokeweight="3pt" strokecolor="#000000">
              <v:stroke dashstyle="solid"/>
            </v:line>
            <v:line style="position:absolute" from="30,4856" to="30,8217" stroked="true" strokeweight="3pt" strokecolor="#000000">
              <v:stroke dashstyle="solid"/>
            </v:line>
            <v:rect style="position:absolute;left:2;top:8231;width:58;height:15" filled="true" fillcolor="#000000" stroked="false">
              <v:fill type="solid"/>
            </v:rect>
            <v:line style="position:absolute" from="60,8238" to="4078,8238" stroked="true" strokeweight=".72pt" strokecolor="#000000">
              <v:stroke dashstyle="solid"/>
            </v:line>
            <v:line style="position:absolute" from="60,8187" to="4078,8187" stroked="true" strokeweight="3pt" strokecolor="#000000">
              <v:stroke dashstyle="solid"/>
            </v:line>
            <v:line style="position:absolute" from="4160,2624" to="4160,8246" stroked="true" strokeweight=".72pt" strokecolor="#000000">
              <v:stroke dashstyle="solid"/>
            </v:line>
            <v:line style="position:absolute" from="4108,4856" to="4108,8217" stroked="true" strokeweight="3pt" strokecolor="#000000">
              <v:stroke dashstyle="solid"/>
            </v:line>
            <v:rect style="position:absolute;left:4078;top:8231;width:89;height:15" filled="true" fillcolor="#000000" stroked="false">
              <v:fill type="solid"/>
            </v:rect>
            <v:shapetype id="_x0000_t202" o:spt="202" coordsize="21600,21600" path="m,l,21600r21600,l21600,xe">
              <v:stroke joinstyle="miter"/>
              <v:path gradientshapeok="t" o:connecttype="rect"/>
            </v:shapetype>
            <v:shape style="position:absolute;left:43;top:136;width:2611;height:1037" type="#_x0000_t202" filled="false" stroked="false">
              <v:textbox inset="0,0,0,0">
                <w:txbxContent>
                  <w:p>
                    <w:pPr>
                      <w:spacing w:line="223" w:lineRule="exact" w:before="0"/>
                      <w:ind w:left="0" w:right="0" w:firstLine="0"/>
                      <w:jc w:val="left"/>
                      <w:rPr>
                        <w:sz w:val="20"/>
                      </w:rPr>
                    </w:pPr>
                    <w:r>
                      <w:rPr>
                        <w:sz w:val="20"/>
                      </w:rPr>
                      <w:t>Patient Name:</w:t>
                    </w:r>
                  </w:p>
                  <w:p>
                    <w:pPr>
                      <w:tabs>
                        <w:tab w:pos="1720" w:val="left" w:leader="none"/>
                      </w:tabs>
                      <w:spacing w:before="175"/>
                      <w:ind w:left="0" w:right="0" w:firstLine="0"/>
                      <w:jc w:val="left"/>
                      <w:rPr>
                        <w:sz w:val="20"/>
                      </w:rPr>
                    </w:pPr>
                    <w:r>
                      <w:rPr>
                        <w:sz w:val="20"/>
                      </w:rPr>
                      <w:t>D.O.B:</w:t>
                    </w:r>
                    <w:r>
                      <w:rPr>
                        <w:sz w:val="20"/>
                        <w:u w:val="single"/>
                      </w:rPr>
                      <w:t> </w:t>
                      <w:tab/>
                    </w:r>
                    <w:r>
                      <w:rPr>
                        <w:sz w:val="20"/>
                      </w:rPr>
                      <w:t>NHS</w:t>
                    </w:r>
                    <w:r>
                      <w:rPr>
                        <w:spacing w:val="-2"/>
                        <w:sz w:val="20"/>
                      </w:rPr>
                      <w:t> </w:t>
                    </w:r>
                    <w:r>
                      <w:rPr>
                        <w:sz w:val="20"/>
                      </w:rPr>
                      <w:t>No:</w:t>
                    </w:r>
                  </w:p>
                  <w:p>
                    <w:pPr>
                      <w:spacing w:before="178"/>
                      <w:ind w:left="0" w:right="0" w:firstLine="0"/>
                      <w:jc w:val="left"/>
                      <w:rPr>
                        <w:sz w:val="20"/>
                      </w:rPr>
                    </w:pPr>
                    <w:r>
                      <w:rPr>
                        <w:sz w:val="20"/>
                      </w:rPr>
                      <w:t>Address:</w:t>
                    </w:r>
                  </w:p>
                </w:txbxContent>
              </v:textbox>
              <w10:wrap type="none"/>
            </v:shape>
            <v:shape style="position:absolute;left:43;top:1764;width:796;height:631" type="#_x0000_t202" filled="false" stroked="false">
              <v:textbox inset="0,0,0,0">
                <w:txbxContent>
                  <w:p>
                    <w:pPr>
                      <w:spacing w:line="223" w:lineRule="exact" w:before="0"/>
                      <w:ind w:left="0" w:right="0" w:firstLine="0"/>
                      <w:jc w:val="left"/>
                      <w:rPr>
                        <w:sz w:val="20"/>
                      </w:rPr>
                    </w:pPr>
                    <w:r>
                      <w:rPr>
                        <w:sz w:val="20"/>
                      </w:rPr>
                      <w:t>GP:</w:t>
                    </w:r>
                  </w:p>
                  <w:p>
                    <w:pPr>
                      <w:spacing w:before="178"/>
                      <w:ind w:left="0" w:right="0" w:firstLine="0"/>
                      <w:jc w:val="left"/>
                      <w:rPr>
                        <w:sz w:val="20"/>
                      </w:rPr>
                    </w:pPr>
                    <w:r>
                      <w:rPr>
                        <w:sz w:val="20"/>
                      </w:rPr>
                      <w:t>Practice:</w:t>
                    </w:r>
                  </w:p>
                </w:txbxContent>
              </v:textbox>
              <w10:wrap type="none"/>
            </v:shape>
            <v:shape style="position:absolute;left:124;top:7196;width:3834;height:956" type="#_x0000_t202" filled="false" stroked="false">
              <v:textbox inset="0,0,0,0">
                <w:txbxContent>
                  <w:p>
                    <w:pPr>
                      <w:spacing w:line="203" w:lineRule="exact" w:before="0"/>
                      <w:ind w:left="0" w:right="0" w:firstLine="0"/>
                      <w:jc w:val="left"/>
                      <w:rPr>
                        <w:rFonts w:ascii="Calibri"/>
                        <w:sz w:val="20"/>
                      </w:rPr>
                    </w:pPr>
                    <w:r>
                      <w:rPr>
                        <w:rFonts w:ascii="Calibri"/>
                        <w:sz w:val="20"/>
                      </w:rPr>
                      <w:t>When a community team is responsible for</w:t>
                    </w:r>
                  </w:p>
                  <w:p>
                    <w:pPr>
                      <w:spacing w:line="243" w:lineRule="exact" w:before="0"/>
                      <w:ind w:left="0" w:right="0" w:firstLine="0"/>
                      <w:jc w:val="left"/>
                      <w:rPr>
                        <w:rFonts w:ascii="Calibri" w:hAnsi="Calibri"/>
                        <w:sz w:val="20"/>
                      </w:rPr>
                    </w:pPr>
                    <w:r>
                      <w:rPr>
                        <w:rFonts w:ascii="Calibri" w:hAnsi="Calibri"/>
                        <w:sz w:val="20"/>
                      </w:rPr>
                      <w:t>changing a patient’s patch, please use the</w:t>
                    </w:r>
                  </w:p>
                  <w:p>
                    <w:pPr>
                      <w:spacing w:line="268" w:lineRule="exact" w:before="0"/>
                      <w:ind w:left="0" w:right="0" w:firstLine="0"/>
                      <w:jc w:val="left"/>
                      <w:rPr>
                        <w:rFonts w:ascii="Calibri"/>
                        <w:i/>
                        <w:sz w:val="20"/>
                      </w:rPr>
                    </w:pPr>
                    <w:r>
                      <w:rPr>
                        <w:rFonts w:ascii="Calibri"/>
                        <w:b/>
                        <w:i/>
                        <w:spacing w:val="1"/>
                        <w:w w:val="100"/>
                        <w:sz w:val="22"/>
                      </w:rPr>
                      <w:t>O</w:t>
                    </w:r>
                    <w:r>
                      <w:rPr>
                        <w:rFonts w:ascii="Calibri"/>
                        <w:b/>
                        <w:i/>
                        <w:spacing w:val="-2"/>
                        <w:w w:val="100"/>
                        <w:sz w:val="22"/>
                      </w:rPr>
                      <w:t>p</w:t>
                    </w:r>
                    <w:r>
                      <w:rPr>
                        <w:rFonts w:ascii="Calibri"/>
                        <w:b/>
                        <w:i/>
                        <w:w w:val="100"/>
                        <w:sz w:val="22"/>
                      </w:rPr>
                      <w:t>i</w:t>
                    </w:r>
                    <w:r>
                      <w:rPr>
                        <w:rFonts w:ascii="Calibri"/>
                        <w:b/>
                        <w:i/>
                        <w:spacing w:val="-2"/>
                        <w:w w:val="100"/>
                        <w:sz w:val="22"/>
                      </w:rPr>
                      <w:t>oi</w:t>
                    </w:r>
                    <w:r>
                      <w:rPr>
                        <w:rFonts w:ascii="Calibri"/>
                        <w:b/>
                        <w:i/>
                        <w:w w:val="100"/>
                        <w:sz w:val="22"/>
                      </w:rPr>
                      <w:t>d</w:t>
                    </w:r>
                    <w:r>
                      <w:rPr>
                        <w:rFonts w:ascii="Calibri"/>
                        <w:b/>
                        <w:i/>
                        <w:spacing w:val="1"/>
                        <w:sz w:val="22"/>
                      </w:rPr>
                      <w:t> </w:t>
                    </w:r>
                    <w:r>
                      <w:rPr>
                        <w:rFonts w:ascii="Calibri"/>
                        <w:b/>
                        <w:i/>
                        <w:spacing w:val="-2"/>
                        <w:w w:val="100"/>
                        <w:sz w:val="22"/>
                      </w:rPr>
                      <w:t>P</w:t>
                    </w:r>
                    <w:r>
                      <w:rPr>
                        <w:rFonts w:ascii="Calibri"/>
                        <w:b/>
                        <w:i/>
                        <w:w w:val="100"/>
                        <w:sz w:val="22"/>
                      </w:rPr>
                      <w:t>at</w:t>
                    </w:r>
                    <w:r>
                      <w:rPr>
                        <w:rFonts w:ascii="Calibri"/>
                        <w:b/>
                        <w:i/>
                        <w:spacing w:val="-2"/>
                        <w:w w:val="100"/>
                        <w:sz w:val="22"/>
                      </w:rPr>
                      <w:t>c</w:t>
                    </w:r>
                    <w:r>
                      <w:rPr>
                        <w:rFonts w:ascii="Calibri"/>
                        <w:b/>
                        <w:i/>
                        <w:w w:val="100"/>
                        <w:sz w:val="22"/>
                      </w:rPr>
                      <w:t>h</w:t>
                    </w:r>
                    <w:r>
                      <w:rPr>
                        <w:rFonts w:ascii="Calibri"/>
                        <w:b/>
                        <w:i/>
                        <w:spacing w:val="1"/>
                        <w:sz w:val="22"/>
                      </w:rPr>
                      <w:t> </w:t>
                    </w:r>
                    <w:r>
                      <w:rPr>
                        <w:rFonts w:ascii="Calibri"/>
                        <w:b/>
                        <w:i/>
                        <w:w w:val="100"/>
                        <w:sz w:val="22"/>
                      </w:rPr>
                      <w:t>R</w:t>
                    </w:r>
                    <w:r>
                      <w:rPr>
                        <w:rFonts w:ascii="Calibri"/>
                        <w:b/>
                        <w:i/>
                        <w:spacing w:val="-3"/>
                        <w:w w:val="100"/>
                        <w:sz w:val="22"/>
                      </w:rPr>
                      <w:t>e</w:t>
                    </w:r>
                    <w:r>
                      <w:rPr>
                        <w:rFonts w:ascii="Calibri"/>
                        <w:b/>
                        <w:i/>
                        <w:w w:val="100"/>
                        <w:sz w:val="22"/>
                      </w:rPr>
                      <w:t>c</w:t>
                    </w:r>
                    <w:r>
                      <w:rPr>
                        <w:rFonts w:ascii="Calibri"/>
                        <w:b/>
                        <w:i/>
                        <w:spacing w:val="1"/>
                        <w:w w:val="100"/>
                        <w:sz w:val="22"/>
                      </w:rPr>
                      <w:t>o</w:t>
                    </w:r>
                    <w:r>
                      <w:rPr>
                        <w:rFonts w:ascii="Calibri"/>
                        <w:b/>
                        <w:i/>
                        <w:spacing w:val="-4"/>
                        <w:w w:val="100"/>
                        <w:sz w:val="22"/>
                      </w:rPr>
                      <w:t>r</w:t>
                    </w:r>
                    <w:r>
                      <w:rPr>
                        <w:rFonts w:ascii="Calibri"/>
                        <w:b/>
                        <w:i/>
                        <w:w w:val="100"/>
                        <w:sz w:val="22"/>
                      </w:rPr>
                      <w:t>d</w:t>
                    </w:r>
                    <w:r>
                      <w:rPr>
                        <w:rFonts w:ascii="Calibri"/>
                        <w:b/>
                        <w:i/>
                        <w:spacing w:val="-2"/>
                        <w:sz w:val="22"/>
                      </w:rPr>
                      <w:t> </w:t>
                    </w:r>
                    <w:r>
                      <w:rPr>
                        <w:rFonts w:ascii="Calibri"/>
                        <w:spacing w:val="-1"/>
                        <w:w w:val="99"/>
                        <w:sz w:val="20"/>
                      </w:rPr>
                      <w:t>f</w:t>
                    </w:r>
                    <w:r>
                      <w:rPr>
                        <w:rFonts w:ascii="Calibri"/>
                        <w:w w:val="99"/>
                        <w:sz w:val="20"/>
                      </w:rPr>
                      <w:t>or</w:t>
                    </w:r>
                    <w:r>
                      <w:rPr>
                        <w:rFonts w:ascii="Calibri"/>
                        <w:spacing w:val="-1"/>
                        <w:w w:val="99"/>
                        <w:sz w:val="20"/>
                      </w:rPr>
                      <w:t>m</w:t>
                    </w:r>
                    <w:r>
                      <w:rPr>
                        <w:rFonts w:ascii="Calibri"/>
                        <w:i/>
                        <w:w w:val="37"/>
                        <w:sz w:val="20"/>
                      </w:rPr>
                      <w:t>.</w:t>
                    </w:r>
                  </w:p>
                  <w:p>
                    <w:pPr>
                      <w:spacing w:line="240" w:lineRule="exact" w:before="0"/>
                      <w:ind w:left="0" w:right="0" w:firstLine="0"/>
                      <w:jc w:val="left"/>
                      <w:rPr>
                        <w:rFonts w:ascii="Calibri"/>
                        <w:sz w:val="20"/>
                      </w:rPr>
                    </w:pPr>
                    <w:r>
                      <w:rPr>
                        <w:rFonts w:ascii="Calibri"/>
                        <w:sz w:val="20"/>
                      </w:rPr>
                      <w:t>Write date of application on the patc h</w:t>
                    </w:r>
                  </w:p>
                </w:txbxContent>
              </v:textbox>
              <w10:wrap type="none"/>
            </v:shape>
            <v:shape style="position:absolute;left:124;top:4982;width:3739;height:475" type="#_x0000_t202" filled="false" stroked="false">
              <v:textbox inset="0,0,0,0">
                <w:txbxContent>
                  <w:p>
                    <w:pPr>
                      <w:spacing w:line="237" w:lineRule="auto" w:before="0"/>
                      <w:ind w:left="0" w:right="-6" w:firstLine="0"/>
                      <w:jc w:val="left"/>
                      <w:rPr>
                        <w:sz w:val="20"/>
                      </w:rPr>
                    </w:pPr>
                    <w:r>
                      <w:rPr>
                        <w:b/>
                        <w:sz w:val="22"/>
                      </w:rPr>
                      <w:t>Special Instructions: </w:t>
                    </w:r>
                    <w:r>
                      <w:rPr>
                        <w:sz w:val="20"/>
                      </w:rPr>
                      <w:t>Document any analgesic patch (type, strength &amp; location)</w:t>
                    </w:r>
                  </w:p>
                </w:txbxContent>
              </v:textbox>
              <w10:wrap type="none"/>
            </v:shape>
            <v:shape style="position:absolute;left:60;top:2669;width:4033;height:2173" type="#_x0000_t202" filled="false" stroked="false">
              <v:textbox inset="0,0,0,0">
                <w:txbxContent>
                  <w:p>
                    <w:pPr>
                      <w:spacing w:before="77"/>
                      <w:ind w:left="64" w:right="0" w:firstLine="0"/>
                      <w:jc w:val="left"/>
                      <w:rPr>
                        <w:b/>
                        <w:sz w:val="22"/>
                      </w:rPr>
                    </w:pPr>
                    <w:r>
                      <w:rPr>
                        <w:b/>
                        <w:sz w:val="22"/>
                      </w:rPr>
                      <w:t>Allergies / Sensitivities:</w:t>
                    </w:r>
                  </w:p>
                </w:txbxContent>
              </v:textbox>
              <w10:wrap type="none"/>
            </v:shape>
          </v:group>
        </w:pict>
      </w:r>
      <w:r>
        <w:rPr>
          <w:rFonts w:ascii="Calibri"/>
          <w:position w:val="9"/>
          <w:sz w:val="20"/>
        </w:rPr>
      </w:r>
      <w:r>
        <w:rPr>
          <w:rFonts w:ascii="Times New Roman"/>
          <w:spacing w:val="105"/>
          <w:position w:val="9"/>
          <w:sz w:val="20"/>
        </w:rPr>
        <w:t> </w:t>
      </w:r>
      <w:r>
        <w:rPr>
          <w:rFonts w:ascii="Calibri"/>
          <w:spacing w:val="105"/>
          <w:sz w:val="20"/>
        </w:rPr>
        <w:pict>
          <v:shape style="width:575.3pt;height:417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1"/>
                    <w:gridCol w:w="3684"/>
                    <w:gridCol w:w="2126"/>
                    <w:gridCol w:w="1702"/>
                    <w:gridCol w:w="141"/>
                    <w:gridCol w:w="1701"/>
                    <w:gridCol w:w="1003"/>
                  </w:tblGrid>
                  <w:tr>
                    <w:trPr>
                      <w:trHeight w:val="448" w:hRule="atLeast"/>
                    </w:trPr>
                    <w:tc>
                      <w:tcPr>
                        <w:tcW w:w="11488" w:type="dxa"/>
                        <w:gridSpan w:val="7"/>
                      </w:tcPr>
                      <w:p>
                        <w:pPr>
                          <w:pStyle w:val="TableParagraph"/>
                          <w:spacing w:before="40"/>
                          <w:ind w:left="1219"/>
                          <w:rPr>
                            <w:b/>
                            <w:sz w:val="32"/>
                          </w:rPr>
                        </w:pPr>
                        <w:r>
                          <w:rPr>
                            <w:b/>
                            <w:sz w:val="20"/>
                          </w:rPr>
                          <w:t>24 HOUR CONTINUOUS SUBCUTANEOUS INFUSION </w:t>
                        </w:r>
                        <w:r>
                          <w:rPr>
                            <w:b/>
                            <w:sz w:val="32"/>
                          </w:rPr>
                          <w:t>(CSCI) </w:t>
                        </w:r>
                        <w:r>
                          <w:rPr>
                            <w:b/>
                            <w:sz w:val="20"/>
                          </w:rPr>
                          <w:t>– </w:t>
                        </w:r>
                        <w:r>
                          <w:rPr>
                            <w:b/>
                            <w:sz w:val="32"/>
                          </w:rPr>
                          <w:t>SYRINGE DRIVER</w:t>
                        </w:r>
                      </w:p>
                    </w:tc>
                  </w:tr>
                  <w:tr>
                    <w:trPr>
                      <w:trHeight w:val="700" w:hRule="atLeast"/>
                    </w:trPr>
                    <w:tc>
                      <w:tcPr>
                        <w:tcW w:w="1131" w:type="dxa"/>
                        <w:shd w:val="clear" w:color="auto" w:fill="D9D9D9"/>
                      </w:tcPr>
                      <w:p>
                        <w:pPr>
                          <w:pStyle w:val="TableParagraph"/>
                          <w:spacing w:before="119"/>
                          <w:ind w:left="83" w:firstLine="268"/>
                          <w:rPr>
                            <w:sz w:val="20"/>
                          </w:rPr>
                        </w:pPr>
                        <w:r>
                          <w:rPr>
                            <w:sz w:val="20"/>
                          </w:rPr>
                          <w:t>Date </w:t>
                        </w:r>
                        <w:r>
                          <w:rPr>
                            <w:w w:val="95"/>
                            <w:sz w:val="20"/>
                          </w:rPr>
                          <w:t>Authorised</w:t>
                        </w:r>
                      </w:p>
                    </w:tc>
                    <w:tc>
                      <w:tcPr>
                        <w:tcW w:w="3684" w:type="dxa"/>
                        <w:shd w:val="clear" w:color="auto" w:fill="D9D9D9"/>
                      </w:tcPr>
                      <w:p>
                        <w:pPr>
                          <w:pStyle w:val="TableParagraph"/>
                          <w:spacing w:before="1"/>
                          <w:rPr>
                            <w:rFonts w:ascii="Times New Roman"/>
                            <w:sz w:val="23"/>
                          </w:rPr>
                        </w:pPr>
                      </w:p>
                      <w:p>
                        <w:pPr>
                          <w:pStyle w:val="TableParagraph"/>
                          <w:ind w:left="496"/>
                          <w:rPr>
                            <w:sz w:val="20"/>
                          </w:rPr>
                        </w:pPr>
                        <w:r>
                          <w:rPr>
                            <w:sz w:val="20"/>
                          </w:rPr>
                          <w:t>Name, form &amp; strength of drug</w:t>
                        </w:r>
                      </w:p>
                    </w:tc>
                    <w:tc>
                      <w:tcPr>
                        <w:tcW w:w="2126" w:type="dxa"/>
                        <w:shd w:val="clear" w:color="auto" w:fill="D9D9D9"/>
                      </w:tcPr>
                      <w:p>
                        <w:pPr>
                          <w:pStyle w:val="TableParagraph"/>
                          <w:spacing w:before="119"/>
                          <w:ind w:left="813" w:right="189" w:hanging="596"/>
                          <w:rPr>
                            <w:sz w:val="20"/>
                          </w:rPr>
                        </w:pPr>
                        <w:r>
                          <w:rPr>
                            <w:sz w:val="20"/>
                          </w:rPr>
                          <w:t>Dose or Range per 24hrs</w:t>
                        </w:r>
                      </w:p>
                    </w:tc>
                    <w:tc>
                      <w:tcPr>
                        <w:tcW w:w="1702" w:type="dxa"/>
                        <w:shd w:val="clear" w:color="auto" w:fill="D9D9D9"/>
                      </w:tcPr>
                      <w:p>
                        <w:pPr>
                          <w:pStyle w:val="TableParagraph"/>
                          <w:spacing w:before="143"/>
                          <w:ind w:left="437" w:right="54" w:hanging="360"/>
                          <w:rPr>
                            <w:sz w:val="18"/>
                          </w:rPr>
                        </w:pPr>
                        <w:r>
                          <w:rPr>
                            <w:sz w:val="18"/>
                          </w:rPr>
                          <w:t>Seek advice before exceeding</w:t>
                        </w:r>
                      </w:p>
                    </w:tc>
                    <w:tc>
                      <w:tcPr>
                        <w:tcW w:w="2845" w:type="dxa"/>
                        <w:gridSpan w:val="3"/>
                        <w:shd w:val="clear" w:color="auto" w:fill="D9D9D9"/>
                      </w:tcPr>
                      <w:p>
                        <w:pPr>
                          <w:pStyle w:val="TableParagraph"/>
                          <w:spacing w:before="39"/>
                          <w:ind w:left="262" w:right="249"/>
                          <w:jc w:val="center"/>
                          <w:rPr>
                            <w:sz w:val="18"/>
                          </w:rPr>
                        </w:pPr>
                        <w:r>
                          <w:rPr>
                            <w:b/>
                            <w:sz w:val="18"/>
                          </w:rPr>
                          <w:t>Sign each prescribed drug. </w:t>
                        </w:r>
                        <w:r>
                          <w:rPr>
                            <w:sz w:val="18"/>
                          </w:rPr>
                          <w:t>PRINT name &amp; NMC/GMC number once legibly</w:t>
                        </w:r>
                      </w:p>
                    </w:tc>
                  </w:tr>
                  <w:tr>
                    <w:trPr>
                      <w:trHeight w:val="854" w:hRule="atLeast"/>
                    </w:trPr>
                    <w:tc>
                      <w:tcPr>
                        <w:tcW w:w="1131" w:type="dxa"/>
                      </w:tcPr>
                      <w:p>
                        <w:pPr>
                          <w:pStyle w:val="TableParagraph"/>
                          <w:rPr>
                            <w:rFonts w:ascii="Times New Roman"/>
                            <w:sz w:val="20"/>
                          </w:rPr>
                        </w:pPr>
                      </w:p>
                    </w:tc>
                    <w:tc>
                      <w:tcPr>
                        <w:tcW w:w="3684" w:type="dxa"/>
                      </w:tcPr>
                      <w:p>
                        <w:pPr>
                          <w:pStyle w:val="TableParagraph"/>
                          <w:spacing w:before="41"/>
                          <w:ind w:left="105"/>
                          <w:rPr>
                            <w:sz w:val="24"/>
                          </w:rPr>
                        </w:pPr>
                        <w:r>
                          <w:rPr>
                            <w:sz w:val="24"/>
                          </w:rPr>
                          <w:t>MORPHINE SULFATE INJ.</w:t>
                        </w:r>
                      </w:p>
                      <w:p>
                        <w:pPr>
                          <w:pStyle w:val="TableParagraph"/>
                          <w:spacing w:before="39"/>
                          <w:ind w:left="105"/>
                          <w:rPr>
                            <w:sz w:val="18"/>
                          </w:rPr>
                        </w:pPr>
                        <w:r>
                          <w:rPr>
                            <w:color w:val="E60000"/>
                            <w:sz w:val="18"/>
                          </w:rPr>
                          <w:t>(Check vial strength prior to administering)</w:t>
                        </w:r>
                      </w:p>
                      <w:p>
                        <w:pPr>
                          <w:pStyle w:val="TableParagraph"/>
                          <w:tabs>
                            <w:tab w:pos="3261" w:val="left" w:leader="none"/>
                          </w:tabs>
                          <w:spacing w:before="1"/>
                          <w:ind w:left="105"/>
                          <w:rPr>
                            <w:b/>
                            <w:sz w:val="20"/>
                          </w:rPr>
                        </w:pPr>
                        <w:r>
                          <w:rPr>
                            <w:sz w:val="20"/>
                          </w:rPr>
                          <w:t>Pain,</w:t>
                        </w:r>
                        <w:r>
                          <w:rPr>
                            <w:spacing w:val="-3"/>
                            <w:sz w:val="20"/>
                          </w:rPr>
                          <w:t> </w:t>
                        </w:r>
                        <w:r>
                          <w:rPr>
                            <w:sz w:val="20"/>
                          </w:rPr>
                          <w:t>breathlessness</w:t>
                          <w:tab/>
                        </w:r>
                        <w:r>
                          <w:rPr>
                            <w:b/>
                            <w:color w:val="4471C4"/>
                            <w:sz w:val="20"/>
                          </w:rPr>
                          <w:t>‡</w:t>
                        </w:r>
                      </w:p>
                    </w:tc>
                    <w:tc>
                      <w:tcPr>
                        <w:tcW w:w="2126" w:type="dxa"/>
                      </w:tcPr>
                      <w:p>
                        <w:pPr>
                          <w:pStyle w:val="TableParagraph"/>
                          <w:rPr>
                            <w:rFonts w:ascii="Times New Roman"/>
                            <w:sz w:val="20"/>
                          </w:rPr>
                        </w:pPr>
                      </w:p>
                    </w:tc>
                    <w:tc>
                      <w:tcPr>
                        <w:tcW w:w="1702" w:type="dxa"/>
                        <w:shd w:val="clear" w:color="auto" w:fill="BEBEBE"/>
                      </w:tcPr>
                      <w:p>
                        <w:pPr>
                          <w:pStyle w:val="TableParagraph"/>
                          <w:spacing w:line="229" w:lineRule="exact"/>
                          <w:ind w:left="52" w:right="48"/>
                          <w:jc w:val="center"/>
                          <w:rPr>
                            <w:sz w:val="20"/>
                          </w:rPr>
                        </w:pPr>
                        <w:r>
                          <w:rPr>
                            <w:sz w:val="20"/>
                          </w:rPr>
                          <w:t>Only if required</w:t>
                        </w:r>
                      </w:p>
                    </w:tc>
                    <w:tc>
                      <w:tcPr>
                        <w:tcW w:w="2845" w:type="dxa"/>
                        <w:gridSpan w:val="3"/>
                      </w:tcPr>
                      <w:p>
                        <w:pPr>
                          <w:pStyle w:val="TableParagraph"/>
                          <w:rPr>
                            <w:rFonts w:ascii="Times New Roman"/>
                            <w:sz w:val="20"/>
                          </w:rPr>
                        </w:pPr>
                      </w:p>
                    </w:tc>
                  </w:tr>
                  <w:tr>
                    <w:trPr>
                      <w:trHeight w:val="537" w:hRule="atLeast"/>
                    </w:trPr>
                    <w:tc>
                      <w:tcPr>
                        <w:tcW w:w="1131" w:type="dxa"/>
                        <w:vMerge w:val="restart"/>
                      </w:tcPr>
                      <w:p>
                        <w:pPr>
                          <w:pStyle w:val="TableParagraph"/>
                          <w:rPr>
                            <w:rFonts w:ascii="Times New Roman"/>
                            <w:sz w:val="20"/>
                          </w:rPr>
                        </w:pPr>
                      </w:p>
                    </w:tc>
                    <w:tc>
                      <w:tcPr>
                        <w:tcW w:w="3684" w:type="dxa"/>
                        <w:vMerge w:val="restart"/>
                      </w:tcPr>
                      <w:p>
                        <w:pPr>
                          <w:pStyle w:val="TableParagraph"/>
                          <w:spacing w:line="276" w:lineRule="exact" w:before="67"/>
                          <w:ind w:left="105"/>
                          <w:rPr>
                            <w:sz w:val="24"/>
                          </w:rPr>
                        </w:pPr>
                        <w:r>
                          <w:rPr>
                            <w:sz w:val="24"/>
                          </w:rPr>
                          <w:t>HALOPERIDOL INJ. 5mg / ml</w:t>
                        </w:r>
                      </w:p>
                      <w:p>
                        <w:pPr>
                          <w:pStyle w:val="TableParagraph"/>
                          <w:spacing w:line="230" w:lineRule="exact"/>
                          <w:ind w:left="105"/>
                          <w:rPr>
                            <w:sz w:val="20"/>
                          </w:rPr>
                        </w:pPr>
                        <w:r>
                          <w:rPr>
                            <w:sz w:val="20"/>
                          </w:rPr>
                          <w:t>Nausea, vomiting, delirium</w:t>
                        </w:r>
                      </w:p>
                    </w:tc>
                    <w:tc>
                      <w:tcPr>
                        <w:tcW w:w="2126" w:type="dxa"/>
                      </w:tcPr>
                      <w:p>
                        <w:pPr>
                          <w:pStyle w:val="TableParagraph"/>
                          <w:tabs>
                            <w:tab w:pos="801" w:val="left" w:leader="none"/>
                          </w:tabs>
                          <w:spacing w:before="134"/>
                          <w:ind w:right="48"/>
                          <w:jc w:val="right"/>
                          <w:rPr>
                            <w:sz w:val="24"/>
                          </w:rPr>
                        </w:pPr>
                        <w:r>
                          <w:rPr>
                            <w:position w:val="1"/>
                            <w:sz w:val="24"/>
                          </w:rPr>
                          <w:t>N&amp;V</w:t>
                          <w:tab/>
                        </w:r>
                        <w:r>
                          <w:rPr>
                            <w:sz w:val="24"/>
                          </w:rPr>
                          <w:t>1.5 -</w:t>
                        </w:r>
                        <w:r>
                          <w:rPr>
                            <w:spacing w:val="-3"/>
                            <w:sz w:val="24"/>
                          </w:rPr>
                          <w:t> </w:t>
                        </w:r>
                        <w:r>
                          <w:rPr>
                            <w:sz w:val="24"/>
                          </w:rPr>
                          <w:t>3mg</w:t>
                        </w:r>
                      </w:p>
                    </w:tc>
                    <w:tc>
                      <w:tcPr>
                        <w:tcW w:w="1702" w:type="dxa"/>
                        <w:vMerge w:val="restart"/>
                      </w:tcPr>
                      <w:p>
                        <w:pPr>
                          <w:pStyle w:val="TableParagraph"/>
                          <w:spacing w:line="276" w:lineRule="exact" w:before="29"/>
                          <w:ind w:left="52" w:right="48"/>
                          <w:jc w:val="center"/>
                          <w:rPr>
                            <w:b/>
                            <w:sz w:val="24"/>
                          </w:rPr>
                        </w:pPr>
                        <w:r>
                          <w:rPr>
                            <w:b/>
                            <w:sz w:val="24"/>
                          </w:rPr>
                          <w:t>5mg</w:t>
                        </w:r>
                      </w:p>
                      <w:p>
                        <w:pPr>
                          <w:pStyle w:val="TableParagraph"/>
                          <w:spacing w:line="230" w:lineRule="exact"/>
                          <w:ind w:left="48" w:right="48"/>
                          <w:jc w:val="center"/>
                          <w:rPr>
                            <w:sz w:val="20"/>
                          </w:rPr>
                        </w:pPr>
                        <w:r>
                          <w:rPr>
                            <w:sz w:val="20"/>
                          </w:rPr>
                          <w:t>including PRNs</w:t>
                        </w:r>
                      </w:p>
                      <w:p>
                        <w:pPr>
                          <w:pStyle w:val="TableParagraph"/>
                          <w:spacing w:before="10"/>
                          <w:rPr>
                            <w:rFonts w:ascii="Times New Roman"/>
                            <w:sz w:val="21"/>
                          </w:rPr>
                        </w:pPr>
                      </w:p>
                      <w:p>
                        <w:pPr>
                          <w:pStyle w:val="TableParagraph"/>
                          <w:ind w:left="52" w:right="48"/>
                          <w:jc w:val="center"/>
                          <w:rPr>
                            <w:sz w:val="18"/>
                          </w:rPr>
                        </w:pPr>
                        <w:r>
                          <w:rPr>
                            <w:sz w:val="18"/>
                          </w:rPr>
                          <w:t>Review PRN doses</w:t>
                        </w:r>
                      </w:p>
                    </w:tc>
                    <w:tc>
                      <w:tcPr>
                        <w:tcW w:w="2845" w:type="dxa"/>
                        <w:gridSpan w:val="3"/>
                        <w:vMerge w:val="restart"/>
                      </w:tcPr>
                      <w:p>
                        <w:pPr>
                          <w:pStyle w:val="TableParagraph"/>
                          <w:rPr>
                            <w:rFonts w:ascii="Times New Roman"/>
                            <w:sz w:val="20"/>
                          </w:rPr>
                        </w:pPr>
                      </w:p>
                    </w:tc>
                  </w:tr>
                  <w:tr>
                    <w:trPr>
                      <w:trHeight w:val="556" w:hRule="atLeast"/>
                    </w:trPr>
                    <w:tc>
                      <w:tcPr>
                        <w:tcW w:w="1131" w:type="dxa"/>
                        <w:vMerge/>
                        <w:tcBorders>
                          <w:top w:val="nil"/>
                        </w:tcBorders>
                      </w:tcPr>
                      <w:p>
                        <w:pPr>
                          <w:rPr>
                            <w:sz w:val="2"/>
                            <w:szCs w:val="2"/>
                          </w:rPr>
                        </w:pPr>
                      </w:p>
                    </w:tc>
                    <w:tc>
                      <w:tcPr>
                        <w:tcW w:w="3684" w:type="dxa"/>
                        <w:vMerge/>
                        <w:tcBorders>
                          <w:top w:val="nil"/>
                        </w:tcBorders>
                      </w:tcPr>
                      <w:p>
                        <w:pPr>
                          <w:rPr>
                            <w:sz w:val="2"/>
                            <w:szCs w:val="2"/>
                          </w:rPr>
                        </w:pPr>
                      </w:p>
                    </w:tc>
                    <w:tc>
                      <w:tcPr>
                        <w:tcW w:w="2126" w:type="dxa"/>
                      </w:tcPr>
                      <w:p>
                        <w:pPr>
                          <w:pStyle w:val="TableParagraph"/>
                          <w:spacing w:before="144"/>
                          <w:ind w:right="48"/>
                          <w:jc w:val="right"/>
                          <w:rPr>
                            <w:sz w:val="24"/>
                          </w:rPr>
                        </w:pPr>
                        <w:r>
                          <w:rPr>
                            <w:position w:val="1"/>
                            <w:sz w:val="24"/>
                          </w:rPr>
                          <w:t>Delirium </w:t>
                        </w:r>
                        <w:r>
                          <w:rPr>
                            <w:sz w:val="24"/>
                          </w:rPr>
                          <w:t>1.5 - 5mg</w:t>
                        </w:r>
                      </w:p>
                    </w:tc>
                    <w:tc>
                      <w:tcPr>
                        <w:tcW w:w="1702" w:type="dxa"/>
                        <w:vMerge/>
                        <w:tcBorders>
                          <w:top w:val="nil"/>
                        </w:tcBorders>
                      </w:tcPr>
                      <w:p>
                        <w:pPr>
                          <w:rPr>
                            <w:sz w:val="2"/>
                            <w:szCs w:val="2"/>
                          </w:rPr>
                        </w:pPr>
                      </w:p>
                    </w:tc>
                    <w:tc>
                      <w:tcPr>
                        <w:tcW w:w="2845" w:type="dxa"/>
                        <w:gridSpan w:val="3"/>
                        <w:vMerge/>
                        <w:tcBorders>
                          <w:top w:val="nil"/>
                        </w:tcBorders>
                      </w:tcPr>
                      <w:p>
                        <w:pPr>
                          <w:rPr>
                            <w:sz w:val="2"/>
                            <w:szCs w:val="2"/>
                          </w:rPr>
                        </w:pPr>
                      </w:p>
                    </w:tc>
                  </w:tr>
                  <w:tr>
                    <w:trPr>
                      <w:trHeight w:val="1147" w:hRule="atLeast"/>
                    </w:trPr>
                    <w:tc>
                      <w:tcPr>
                        <w:tcW w:w="1131" w:type="dxa"/>
                      </w:tcPr>
                      <w:p>
                        <w:pPr>
                          <w:pStyle w:val="TableParagraph"/>
                          <w:rPr>
                            <w:rFonts w:ascii="Times New Roman"/>
                            <w:sz w:val="20"/>
                          </w:rPr>
                        </w:pPr>
                      </w:p>
                    </w:tc>
                    <w:tc>
                      <w:tcPr>
                        <w:tcW w:w="3684" w:type="dxa"/>
                      </w:tcPr>
                      <w:p>
                        <w:pPr>
                          <w:pStyle w:val="TableParagraph"/>
                          <w:spacing w:line="274" w:lineRule="exact" w:before="67"/>
                          <w:ind w:left="105"/>
                          <w:rPr>
                            <w:sz w:val="24"/>
                          </w:rPr>
                        </w:pPr>
                        <w:r>
                          <w:rPr>
                            <w:sz w:val="24"/>
                          </w:rPr>
                          <w:t>HYOSCINE BUTYLBROMIDE</w:t>
                        </w:r>
                      </w:p>
                      <w:p>
                        <w:pPr>
                          <w:pStyle w:val="TableParagraph"/>
                          <w:spacing w:line="278" w:lineRule="exact"/>
                          <w:ind w:left="105"/>
                          <w:rPr>
                            <w:sz w:val="24"/>
                          </w:rPr>
                        </w:pPr>
                        <w:r>
                          <w:rPr>
                            <w:sz w:val="24"/>
                          </w:rPr>
                          <w:t>INJ. [Buscopan</w:t>
                        </w:r>
                        <w:r>
                          <w:rPr>
                            <w:position w:val="8"/>
                            <w:sz w:val="16"/>
                          </w:rPr>
                          <w:t>® </w:t>
                        </w:r>
                        <w:r>
                          <w:rPr>
                            <w:sz w:val="24"/>
                          </w:rPr>
                          <w:t>] 20mg / ml</w:t>
                        </w:r>
                      </w:p>
                      <w:p>
                        <w:pPr>
                          <w:pStyle w:val="TableParagraph"/>
                          <w:spacing w:before="38"/>
                          <w:ind w:left="105"/>
                          <w:rPr>
                            <w:sz w:val="20"/>
                          </w:rPr>
                        </w:pPr>
                        <w:r>
                          <w:rPr>
                            <w:sz w:val="20"/>
                          </w:rPr>
                          <w:t>Distressing oral / chest secretions, abdominal colic</w:t>
                        </w:r>
                      </w:p>
                    </w:tc>
                    <w:tc>
                      <w:tcPr>
                        <w:tcW w:w="2126" w:type="dxa"/>
                      </w:tcPr>
                      <w:p>
                        <w:pPr>
                          <w:pStyle w:val="TableParagraph"/>
                          <w:rPr>
                            <w:rFonts w:ascii="Times New Roman"/>
                            <w:sz w:val="24"/>
                          </w:rPr>
                        </w:pPr>
                      </w:p>
                      <w:p>
                        <w:pPr>
                          <w:pStyle w:val="TableParagraph"/>
                          <w:spacing w:before="201"/>
                          <w:ind w:left="506"/>
                          <w:rPr>
                            <w:sz w:val="22"/>
                          </w:rPr>
                        </w:pPr>
                        <w:r>
                          <w:rPr>
                            <w:sz w:val="22"/>
                          </w:rPr>
                          <w:t>60 - 120mg</w:t>
                        </w:r>
                      </w:p>
                    </w:tc>
                    <w:tc>
                      <w:tcPr>
                        <w:tcW w:w="1702" w:type="dxa"/>
                      </w:tcPr>
                      <w:p>
                        <w:pPr>
                          <w:pStyle w:val="TableParagraph"/>
                          <w:spacing w:line="276" w:lineRule="exact" w:before="26"/>
                          <w:ind w:left="52" w:right="45"/>
                          <w:jc w:val="center"/>
                          <w:rPr>
                            <w:b/>
                            <w:sz w:val="24"/>
                          </w:rPr>
                        </w:pPr>
                        <w:r>
                          <w:rPr>
                            <w:b/>
                            <w:sz w:val="24"/>
                          </w:rPr>
                          <w:t>120mg</w:t>
                        </w:r>
                      </w:p>
                      <w:p>
                        <w:pPr>
                          <w:pStyle w:val="TableParagraph"/>
                          <w:spacing w:line="230" w:lineRule="exact"/>
                          <w:ind w:left="48" w:right="48"/>
                          <w:jc w:val="center"/>
                          <w:rPr>
                            <w:sz w:val="20"/>
                          </w:rPr>
                        </w:pPr>
                        <w:r>
                          <w:rPr>
                            <w:sz w:val="20"/>
                          </w:rPr>
                          <w:t>including PRNs</w:t>
                        </w:r>
                      </w:p>
                      <w:p>
                        <w:pPr>
                          <w:pStyle w:val="TableParagraph"/>
                          <w:rPr>
                            <w:rFonts w:ascii="Times New Roman"/>
                            <w:sz w:val="28"/>
                          </w:rPr>
                        </w:pPr>
                      </w:p>
                      <w:p>
                        <w:pPr>
                          <w:pStyle w:val="TableParagraph"/>
                          <w:ind w:left="52" w:right="48"/>
                          <w:jc w:val="center"/>
                          <w:rPr>
                            <w:sz w:val="18"/>
                          </w:rPr>
                        </w:pPr>
                        <w:r>
                          <w:rPr>
                            <w:sz w:val="18"/>
                          </w:rPr>
                          <w:t>Review PRN doses</w:t>
                        </w:r>
                      </w:p>
                    </w:tc>
                    <w:tc>
                      <w:tcPr>
                        <w:tcW w:w="2845" w:type="dxa"/>
                        <w:gridSpan w:val="3"/>
                      </w:tcPr>
                      <w:p>
                        <w:pPr>
                          <w:pStyle w:val="TableParagraph"/>
                          <w:rPr>
                            <w:rFonts w:ascii="Times New Roman"/>
                            <w:sz w:val="20"/>
                          </w:rPr>
                        </w:pPr>
                      </w:p>
                    </w:tc>
                  </w:tr>
                  <w:tr>
                    <w:trPr>
                      <w:trHeight w:val="606" w:hRule="atLeast"/>
                    </w:trPr>
                    <w:tc>
                      <w:tcPr>
                        <w:tcW w:w="1131" w:type="dxa"/>
                      </w:tcPr>
                      <w:p>
                        <w:pPr>
                          <w:pStyle w:val="TableParagraph"/>
                          <w:rPr>
                            <w:rFonts w:ascii="Times New Roman"/>
                            <w:sz w:val="20"/>
                          </w:rPr>
                        </w:pPr>
                      </w:p>
                    </w:tc>
                    <w:tc>
                      <w:tcPr>
                        <w:tcW w:w="3684" w:type="dxa"/>
                      </w:tcPr>
                      <w:p>
                        <w:pPr>
                          <w:pStyle w:val="TableParagraph"/>
                          <w:spacing w:line="276" w:lineRule="exact" w:before="41"/>
                          <w:ind w:left="105"/>
                          <w:rPr>
                            <w:sz w:val="24"/>
                          </w:rPr>
                        </w:pPr>
                        <w:r>
                          <w:rPr>
                            <w:sz w:val="24"/>
                          </w:rPr>
                          <w:t>MIDAZOLAM INJ. 10mg /</w:t>
                        </w:r>
                        <w:r>
                          <w:rPr>
                            <w:spacing w:val="-7"/>
                            <w:sz w:val="24"/>
                          </w:rPr>
                          <w:t> </w:t>
                        </w:r>
                        <w:r>
                          <w:rPr>
                            <w:sz w:val="24"/>
                          </w:rPr>
                          <w:t>2mls</w:t>
                        </w:r>
                      </w:p>
                      <w:p>
                        <w:pPr>
                          <w:pStyle w:val="TableParagraph"/>
                          <w:tabs>
                            <w:tab w:pos="3304" w:val="left" w:leader="none"/>
                          </w:tabs>
                          <w:spacing w:line="230" w:lineRule="exact"/>
                          <w:ind w:left="105"/>
                          <w:rPr>
                            <w:b/>
                            <w:sz w:val="20"/>
                          </w:rPr>
                        </w:pPr>
                        <w:r>
                          <w:rPr>
                            <w:sz w:val="20"/>
                          </w:rPr>
                          <w:t>Anxiety,</w:t>
                        </w:r>
                        <w:r>
                          <w:rPr>
                            <w:spacing w:val="-4"/>
                            <w:sz w:val="20"/>
                          </w:rPr>
                          <w:t> </w:t>
                        </w:r>
                        <w:r>
                          <w:rPr>
                            <w:sz w:val="20"/>
                          </w:rPr>
                          <w:t>breathlessness,</w:t>
                        </w:r>
                        <w:r>
                          <w:rPr>
                            <w:spacing w:val="-4"/>
                            <w:sz w:val="20"/>
                          </w:rPr>
                          <w:t> </w:t>
                        </w:r>
                        <w:r>
                          <w:rPr>
                            <w:sz w:val="20"/>
                          </w:rPr>
                          <w:t>agitation</w:t>
                          <w:tab/>
                        </w:r>
                        <w:r>
                          <w:rPr>
                            <w:b/>
                            <w:color w:val="4471C4"/>
                            <w:sz w:val="20"/>
                          </w:rPr>
                          <w:t>‡</w:t>
                        </w:r>
                      </w:p>
                    </w:tc>
                    <w:tc>
                      <w:tcPr>
                        <w:tcW w:w="2126" w:type="dxa"/>
                      </w:tcPr>
                      <w:p>
                        <w:pPr>
                          <w:pStyle w:val="TableParagraph"/>
                          <w:rPr>
                            <w:rFonts w:ascii="Times New Roman"/>
                            <w:sz w:val="20"/>
                          </w:rPr>
                        </w:pPr>
                      </w:p>
                    </w:tc>
                    <w:tc>
                      <w:tcPr>
                        <w:tcW w:w="1702" w:type="dxa"/>
                        <w:shd w:val="clear" w:color="auto" w:fill="BEBEBE"/>
                      </w:tcPr>
                      <w:p>
                        <w:pPr>
                          <w:pStyle w:val="TableParagraph"/>
                          <w:spacing w:line="229" w:lineRule="exact"/>
                          <w:ind w:left="52" w:right="48"/>
                          <w:jc w:val="center"/>
                          <w:rPr>
                            <w:sz w:val="20"/>
                          </w:rPr>
                        </w:pPr>
                        <w:r>
                          <w:rPr>
                            <w:sz w:val="20"/>
                          </w:rPr>
                          <w:t>Only if required</w:t>
                        </w:r>
                      </w:p>
                    </w:tc>
                    <w:tc>
                      <w:tcPr>
                        <w:tcW w:w="2845" w:type="dxa"/>
                        <w:gridSpan w:val="3"/>
                      </w:tcPr>
                      <w:p>
                        <w:pPr>
                          <w:pStyle w:val="TableParagraph"/>
                          <w:rPr>
                            <w:rFonts w:ascii="Times New Roman"/>
                            <w:sz w:val="20"/>
                          </w:rPr>
                        </w:pPr>
                      </w:p>
                    </w:tc>
                  </w:tr>
                  <w:tr>
                    <w:trPr>
                      <w:trHeight w:val="508" w:hRule="atLeast"/>
                    </w:trPr>
                    <w:tc>
                      <w:tcPr>
                        <w:tcW w:w="1131" w:type="dxa"/>
                      </w:tcPr>
                      <w:p>
                        <w:pPr>
                          <w:pStyle w:val="TableParagraph"/>
                          <w:rPr>
                            <w:rFonts w:ascii="Times New Roman"/>
                            <w:sz w:val="20"/>
                          </w:rPr>
                        </w:pPr>
                      </w:p>
                    </w:tc>
                    <w:tc>
                      <w:tcPr>
                        <w:tcW w:w="3684" w:type="dxa"/>
                      </w:tcPr>
                      <w:p>
                        <w:pPr>
                          <w:pStyle w:val="TableParagraph"/>
                          <w:spacing w:before="118"/>
                          <w:ind w:left="105"/>
                          <w:rPr>
                            <w:sz w:val="24"/>
                          </w:rPr>
                        </w:pPr>
                        <w:r>
                          <w:rPr>
                            <w:sz w:val="24"/>
                          </w:rPr>
                          <w:t>WATER FOR INJECTION</w:t>
                        </w:r>
                      </w:p>
                    </w:tc>
                    <w:tc>
                      <w:tcPr>
                        <w:tcW w:w="2126" w:type="dxa"/>
                      </w:tcPr>
                      <w:p>
                        <w:pPr>
                          <w:pStyle w:val="TableParagraph"/>
                          <w:spacing w:before="119"/>
                          <w:ind w:left="475"/>
                          <w:rPr>
                            <w:sz w:val="20"/>
                          </w:rPr>
                        </w:pPr>
                        <w:r>
                          <w:rPr>
                            <w:sz w:val="20"/>
                          </w:rPr>
                          <w:t>AS DILUENT</w:t>
                        </w:r>
                      </w:p>
                    </w:tc>
                    <w:tc>
                      <w:tcPr>
                        <w:tcW w:w="1702" w:type="dxa"/>
                        <w:tcBorders>
                          <w:top w:val="nil"/>
                          <w:left w:val="nil"/>
                          <w:bottom w:val="nil"/>
                          <w:right w:val="nil"/>
                        </w:tcBorders>
                        <w:shd w:val="clear" w:color="auto" w:fill="000000"/>
                      </w:tcPr>
                      <w:p>
                        <w:pPr>
                          <w:pStyle w:val="TableParagraph"/>
                          <w:spacing w:before="120"/>
                          <w:ind w:left="644" w:right="639"/>
                          <w:jc w:val="center"/>
                          <w:rPr>
                            <w:b/>
                            <w:sz w:val="22"/>
                          </w:rPr>
                        </w:pPr>
                        <w:r>
                          <w:rPr>
                            <w:b/>
                            <w:color w:val="FFFFFF"/>
                            <w:sz w:val="22"/>
                          </w:rPr>
                          <w:t>N/A</w:t>
                        </w:r>
                      </w:p>
                    </w:tc>
                    <w:tc>
                      <w:tcPr>
                        <w:tcW w:w="2845" w:type="dxa"/>
                        <w:gridSpan w:val="3"/>
                      </w:tcPr>
                      <w:p>
                        <w:pPr>
                          <w:pStyle w:val="TableParagraph"/>
                          <w:rPr>
                            <w:rFonts w:ascii="Times New Roman"/>
                            <w:sz w:val="20"/>
                          </w:rPr>
                        </w:pPr>
                      </w:p>
                    </w:tc>
                  </w:tr>
                  <w:tr>
                    <w:trPr>
                      <w:trHeight w:val="614" w:hRule="atLeast"/>
                    </w:trPr>
                    <w:tc>
                      <w:tcPr>
                        <w:tcW w:w="1131" w:type="dxa"/>
                      </w:tcPr>
                      <w:p>
                        <w:pPr>
                          <w:pStyle w:val="TableParagraph"/>
                          <w:rPr>
                            <w:rFonts w:ascii="Times New Roman"/>
                            <w:sz w:val="20"/>
                          </w:rPr>
                        </w:pPr>
                      </w:p>
                    </w:tc>
                    <w:tc>
                      <w:tcPr>
                        <w:tcW w:w="3684" w:type="dxa"/>
                      </w:tcPr>
                      <w:p>
                        <w:pPr>
                          <w:pStyle w:val="TableParagraph"/>
                          <w:rPr>
                            <w:rFonts w:ascii="Times New Roman"/>
                            <w:sz w:val="20"/>
                          </w:rPr>
                        </w:pPr>
                      </w:p>
                    </w:tc>
                    <w:tc>
                      <w:tcPr>
                        <w:tcW w:w="2126" w:type="dxa"/>
                      </w:tcPr>
                      <w:p>
                        <w:pPr>
                          <w:pStyle w:val="TableParagraph"/>
                          <w:rPr>
                            <w:rFonts w:ascii="Times New Roman"/>
                            <w:sz w:val="20"/>
                          </w:rPr>
                        </w:pPr>
                      </w:p>
                    </w:tc>
                    <w:tc>
                      <w:tcPr>
                        <w:tcW w:w="1702" w:type="dxa"/>
                      </w:tcPr>
                      <w:p>
                        <w:pPr>
                          <w:pStyle w:val="TableParagraph"/>
                          <w:rPr>
                            <w:rFonts w:ascii="Times New Roman"/>
                            <w:sz w:val="20"/>
                          </w:rPr>
                        </w:pPr>
                      </w:p>
                    </w:tc>
                    <w:tc>
                      <w:tcPr>
                        <w:tcW w:w="2845" w:type="dxa"/>
                        <w:gridSpan w:val="3"/>
                      </w:tcPr>
                      <w:p>
                        <w:pPr>
                          <w:pStyle w:val="TableParagraph"/>
                          <w:rPr>
                            <w:rFonts w:ascii="Times New Roman"/>
                            <w:sz w:val="20"/>
                          </w:rPr>
                        </w:pPr>
                      </w:p>
                    </w:tc>
                  </w:tr>
                  <w:tr>
                    <w:trPr>
                      <w:trHeight w:val="613" w:hRule="atLeast"/>
                    </w:trPr>
                    <w:tc>
                      <w:tcPr>
                        <w:tcW w:w="1131" w:type="dxa"/>
                      </w:tcPr>
                      <w:p>
                        <w:pPr>
                          <w:pStyle w:val="TableParagraph"/>
                          <w:rPr>
                            <w:rFonts w:ascii="Times New Roman"/>
                            <w:sz w:val="20"/>
                          </w:rPr>
                        </w:pPr>
                      </w:p>
                    </w:tc>
                    <w:tc>
                      <w:tcPr>
                        <w:tcW w:w="3684" w:type="dxa"/>
                      </w:tcPr>
                      <w:p>
                        <w:pPr>
                          <w:pStyle w:val="TableParagraph"/>
                          <w:rPr>
                            <w:rFonts w:ascii="Times New Roman"/>
                            <w:sz w:val="20"/>
                          </w:rPr>
                        </w:pPr>
                      </w:p>
                    </w:tc>
                    <w:tc>
                      <w:tcPr>
                        <w:tcW w:w="2126" w:type="dxa"/>
                      </w:tcPr>
                      <w:p>
                        <w:pPr>
                          <w:pStyle w:val="TableParagraph"/>
                          <w:rPr>
                            <w:rFonts w:ascii="Times New Roman"/>
                            <w:sz w:val="20"/>
                          </w:rPr>
                        </w:pPr>
                      </w:p>
                    </w:tc>
                    <w:tc>
                      <w:tcPr>
                        <w:tcW w:w="1702" w:type="dxa"/>
                      </w:tcPr>
                      <w:p>
                        <w:pPr>
                          <w:pStyle w:val="TableParagraph"/>
                          <w:rPr>
                            <w:rFonts w:ascii="Times New Roman"/>
                            <w:sz w:val="20"/>
                          </w:rPr>
                        </w:pPr>
                      </w:p>
                    </w:tc>
                    <w:tc>
                      <w:tcPr>
                        <w:tcW w:w="2845" w:type="dxa"/>
                        <w:gridSpan w:val="3"/>
                      </w:tcPr>
                      <w:p>
                        <w:pPr>
                          <w:pStyle w:val="TableParagraph"/>
                          <w:rPr>
                            <w:rFonts w:ascii="Times New Roman"/>
                            <w:sz w:val="20"/>
                          </w:rPr>
                        </w:pPr>
                      </w:p>
                    </w:tc>
                  </w:tr>
                  <w:tr>
                    <w:trPr>
                      <w:trHeight w:val="614" w:hRule="atLeast"/>
                    </w:trPr>
                    <w:tc>
                      <w:tcPr>
                        <w:tcW w:w="1131" w:type="dxa"/>
                      </w:tcPr>
                      <w:p>
                        <w:pPr>
                          <w:pStyle w:val="TableParagraph"/>
                          <w:rPr>
                            <w:rFonts w:ascii="Times New Roman"/>
                            <w:sz w:val="20"/>
                          </w:rPr>
                        </w:pPr>
                      </w:p>
                    </w:tc>
                    <w:tc>
                      <w:tcPr>
                        <w:tcW w:w="3684" w:type="dxa"/>
                      </w:tcPr>
                      <w:p>
                        <w:pPr>
                          <w:pStyle w:val="TableParagraph"/>
                          <w:rPr>
                            <w:rFonts w:ascii="Times New Roman"/>
                            <w:sz w:val="20"/>
                          </w:rPr>
                        </w:pPr>
                      </w:p>
                    </w:tc>
                    <w:tc>
                      <w:tcPr>
                        <w:tcW w:w="2126" w:type="dxa"/>
                      </w:tcPr>
                      <w:p>
                        <w:pPr>
                          <w:pStyle w:val="TableParagraph"/>
                          <w:rPr>
                            <w:rFonts w:ascii="Times New Roman"/>
                            <w:sz w:val="20"/>
                          </w:rPr>
                        </w:pPr>
                      </w:p>
                    </w:tc>
                    <w:tc>
                      <w:tcPr>
                        <w:tcW w:w="1702" w:type="dxa"/>
                      </w:tcPr>
                      <w:p>
                        <w:pPr>
                          <w:pStyle w:val="TableParagraph"/>
                          <w:rPr>
                            <w:rFonts w:ascii="Times New Roman"/>
                            <w:sz w:val="20"/>
                          </w:rPr>
                        </w:pPr>
                      </w:p>
                    </w:tc>
                    <w:tc>
                      <w:tcPr>
                        <w:tcW w:w="2845" w:type="dxa"/>
                        <w:gridSpan w:val="3"/>
                      </w:tcPr>
                      <w:p>
                        <w:pPr>
                          <w:pStyle w:val="TableParagraph"/>
                          <w:rPr>
                            <w:rFonts w:ascii="Times New Roman"/>
                            <w:sz w:val="20"/>
                          </w:rPr>
                        </w:pPr>
                      </w:p>
                    </w:tc>
                  </w:tr>
                  <w:tr>
                    <w:trPr>
                      <w:trHeight w:val="1007" w:hRule="atLeast"/>
                    </w:trPr>
                    <w:tc>
                      <w:tcPr>
                        <w:tcW w:w="8784" w:type="dxa"/>
                        <w:gridSpan w:val="5"/>
                      </w:tcPr>
                      <w:p>
                        <w:pPr>
                          <w:pStyle w:val="TableParagraph"/>
                          <w:spacing w:before="86"/>
                          <w:ind w:left="119" w:right="110" w:hanging="4"/>
                          <w:jc w:val="center"/>
                          <w:rPr>
                            <w:sz w:val="18"/>
                          </w:rPr>
                        </w:pPr>
                        <w:r>
                          <w:rPr>
                            <w:b/>
                            <w:sz w:val="20"/>
                          </w:rPr>
                          <w:t>HOSPITAL DISCHARGES: </w:t>
                        </w:r>
                        <w:r>
                          <w:rPr>
                            <w:sz w:val="18"/>
                          </w:rPr>
                          <w:t>For End of Life Care discharges (prognosis days to short weeks) please provide at least 7days supply of SC meds &amp; a copy of the hospital medicines administration record. Contact patient’s GP on day of discharge via an email flagged </w:t>
                        </w:r>
                        <w:r>
                          <w:rPr>
                            <w:sz w:val="20"/>
                          </w:rPr>
                          <w:t>“Urgent”</w:t>
                        </w:r>
                        <w:r>
                          <w:rPr>
                            <w:sz w:val="18"/>
                          </w:rPr>
                          <w:t>, &amp; if prognosis is days also telephone, to ensure a safe transfer of care.</w:t>
                        </w:r>
                      </w:p>
                    </w:tc>
                    <w:tc>
                      <w:tcPr>
                        <w:tcW w:w="1701" w:type="dxa"/>
                      </w:tcPr>
                      <w:p>
                        <w:pPr>
                          <w:pStyle w:val="TableParagraph"/>
                          <w:spacing w:before="39"/>
                          <w:ind w:left="253" w:right="24" w:hanging="207"/>
                          <w:rPr>
                            <w:sz w:val="18"/>
                          </w:rPr>
                        </w:pPr>
                        <w:r>
                          <w:rPr>
                            <w:sz w:val="18"/>
                          </w:rPr>
                          <w:t>Hospital Pharmacist Clinical Check:</w:t>
                        </w:r>
                      </w:p>
                    </w:tc>
                    <w:tc>
                      <w:tcPr>
                        <w:tcW w:w="1003" w:type="dxa"/>
                      </w:tcPr>
                      <w:p>
                        <w:pPr>
                          <w:pStyle w:val="TableParagraph"/>
                          <w:spacing w:before="39"/>
                          <w:ind w:left="107" w:right="185"/>
                          <w:rPr>
                            <w:sz w:val="18"/>
                          </w:rPr>
                        </w:pPr>
                        <w:r>
                          <w:rPr>
                            <w:sz w:val="18"/>
                          </w:rPr>
                          <w:t>Initials &amp; Date:</w:t>
                        </w:r>
                      </w:p>
                    </w:tc>
                  </w:tr>
                </w:tbl>
                <w:p>
                  <w:pPr>
                    <w:pStyle w:val="BodyText"/>
                  </w:pPr>
                </w:p>
              </w:txbxContent>
            </v:textbox>
          </v:shape>
        </w:pict>
      </w:r>
      <w:r>
        <w:rPr>
          <w:rFonts w:ascii="Calibri"/>
          <w:spacing w:val="105"/>
          <w:sz w:val="20"/>
        </w:rPr>
      </w:r>
    </w:p>
    <w:p>
      <w:pPr>
        <w:spacing w:after="0" w:line="240" w:lineRule="auto"/>
        <w:rPr>
          <w:rFonts w:ascii="Calibri"/>
          <w:sz w:val="20"/>
        </w:rPr>
        <w:sectPr>
          <w:type w:val="continuous"/>
          <w:pgSz w:w="16840" w:h="11910" w:orient="landscape"/>
          <w:pgMar w:top="260" w:bottom="0" w:left="480" w:right="140"/>
        </w:sectPr>
      </w:pPr>
    </w:p>
    <w:p>
      <w:pPr>
        <w:spacing w:before="72"/>
        <w:ind w:left="372" w:right="0" w:firstLine="0"/>
        <w:jc w:val="left"/>
        <w:rPr>
          <w:rFonts w:ascii="Cambria"/>
          <w:i/>
          <w:sz w:val="20"/>
        </w:rPr>
      </w:pPr>
      <w:r>
        <w:rPr>
          <w:rFonts w:ascii="Cambria"/>
          <w:i/>
          <w:sz w:val="20"/>
        </w:rPr>
        <w:t>When received via email from prescriber.</w:t>
      </w:r>
    </w:p>
    <w:p>
      <w:pPr>
        <w:pStyle w:val="Heading1"/>
        <w:spacing w:before="15"/>
        <w:ind w:left="372"/>
        <w:rPr>
          <w:rFonts w:ascii="Arial"/>
          <w:i/>
        </w:rPr>
      </w:pPr>
      <w:r>
        <w:rPr>
          <w:b w:val="0"/>
          <w:i w:val="0"/>
        </w:rPr>
        <w:br w:type="column"/>
      </w:r>
      <w:r>
        <w:rPr>
          <w:rFonts w:ascii="Arial"/>
          <w:i/>
        </w:rPr>
        <w:t>Once printed. Delete discontinued medicines with a single line, sign &amp; date, using a pen</w:t>
      </w:r>
    </w:p>
    <w:p>
      <w:pPr>
        <w:spacing w:after="0"/>
        <w:rPr>
          <w:rFonts w:ascii="Arial"/>
        </w:rPr>
        <w:sectPr>
          <w:type w:val="continuous"/>
          <w:pgSz w:w="16840" w:h="11910" w:orient="landscape"/>
          <w:pgMar w:top="260" w:bottom="0" w:left="480" w:right="140"/>
          <w:cols w:num="2" w:equalWidth="0">
            <w:col w:w="3814" w:space="1359"/>
            <w:col w:w="11047"/>
          </w:cols>
        </w:sectPr>
      </w:pPr>
    </w:p>
    <w:p>
      <w:pPr>
        <w:tabs>
          <w:tab w:pos="9224" w:val="left" w:leader="none"/>
          <w:tab w:pos="14085" w:val="left" w:leader="none"/>
        </w:tabs>
        <w:spacing w:before="170"/>
        <w:ind w:left="480" w:right="0" w:firstLine="0"/>
        <w:jc w:val="left"/>
        <w:rPr>
          <w:rFonts w:ascii="Cambria"/>
          <w:i/>
          <w:sz w:val="20"/>
        </w:rPr>
      </w:pPr>
      <w:r>
        <w:rPr>
          <w:rFonts w:ascii="Cambria"/>
          <w:i/>
          <w:sz w:val="28"/>
        </w:rPr>
        <w:t>E</w:t>
      </w:r>
      <w:r>
        <w:rPr>
          <w:rFonts w:ascii="Cambria"/>
          <w:i/>
          <w:sz w:val="20"/>
        </w:rPr>
        <w:t>mail verified &amp; Form</w:t>
      </w:r>
      <w:r>
        <w:rPr>
          <w:rFonts w:ascii="Cambria"/>
          <w:i/>
          <w:spacing w:val="-7"/>
          <w:sz w:val="20"/>
        </w:rPr>
        <w:t> </w:t>
      </w:r>
      <w:r>
        <w:rPr>
          <w:rFonts w:ascii="Cambria"/>
          <w:i/>
          <w:sz w:val="20"/>
        </w:rPr>
        <w:t>printed</w:t>
      </w:r>
      <w:r>
        <w:rPr>
          <w:rFonts w:ascii="Cambria"/>
          <w:i/>
          <w:spacing w:val="-1"/>
          <w:sz w:val="20"/>
        </w:rPr>
        <w:t> </w:t>
      </w:r>
      <w:r>
        <w:rPr>
          <w:rFonts w:ascii="Cambria"/>
          <w:i/>
          <w:sz w:val="20"/>
        </w:rPr>
        <w:t>by:</w:t>
        <w:tab/>
      </w:r>
      <w:r>
        <w:rPr>
          <w:rFonts w:ascii="Cambria"/>
          <w:i/>
          <w:position w:val="8"/>
          <w:sz w:val="20"/>
        </w:rPr>
        <w:t>Team:</w:t>
        <w:tab/>
        <w:t>Date:</w:t>
      </w:r>
    </w:p>
    <w:p>
      <w:pPr>
        <w:pStyle w:val="BodyText"/>
        <w:spacing w:line="20" w:lineRule="exact"/>
        <w:ind w:left="352"/>
        <w:rPr>
          <w:rFonts w:ascii="Cambria"/>
          <w:sz w:val="2"/>
        </w:rPr>
      </w:pPr>
      <w:r>
        <w:rPr>
          <w:rFonts w:ascii="Cambria"/>
          <w:sz w:val="2"/>
        </w:rPr>
        <w:pict>
          <v:group style="width:787.6pt;height:.5pt;mso-position-horizontal-relative:char;mso-position-vertical-relative:line" coordorigin="0,0" coordsize="15752,10">
            <v:line style="position:absolute" from="0,5" to="3418,5" stroked="true" strokeweight=".48pt" strokecolor="#000000">
              <v:stroke dashstyle="solid"/>
            </v:line>
            <v:rect style="position:absolute;left:3403;top:0;width:10;height:10" filled="true" fillcolor="#000000" stroked="false">
              <v:fill type="solid"/>
            </v:rect>
            <v:line style="position:absolute" from="3413,5" to="8761,5" stroked="true" strokeweight=".48pt" strokecolor="#000000">
              <v:stroke dashstyle="solid"/>
            </v:line>
            <v:rect style="position:absolute;left:8747;top:0;width:10;height:10" filled="true" fillcolor="#000000" stroked="false">
              <v:fill type="solid"/>
            </v:rect>
            <v:line style="position:absolute" from="8757,5" to="9544,5" stroked="true" strokeweight=".48pt" strokecolor="#000000">
              <v:stroke dashstyle="solid"/>
            </v:line>
            <v:rect style="position:absolute;left:9529;top:0;width:10;height:10" filled="true" fillcolor="#000000" stroked="false">
              <v:fill type="solid"/>
            </v:rect>
            <v:line style="position:absolute" from="9539,5" to="13619,5" stroked="true" strokeweight=".48pt" strokecolor="#000000">
              <v:stroke dashstyle="solid"/>
            </v:line>
            <v:rect style="position:absolute;left:13605;top:0;width:10;height:10" filled="true" fillcolor="#000000" stroked="false">
              <v:fill type="solid"/>
            </v:rect>
            <v:line style="position:absolute" from="13615,5" to="14481,5" stroked="true" strokeweight=".48pt" strokecolor="#000000">
              <v:stroke dashstyle="solid"/>
            </v:line>
            <v:rect style="position:absolute;left:14466;top:0;width:10;height:10" filled="true" fillcolor="#000000" stroked="false">
              <v:fill type="solid"/>
            </v:rect>
            <v:line style="position:absolute" from="14476,5" to="15751,5" stroked="true" strokeweight=".48pt" strokecolor="#000000">
              <v:stroke dashstyle="solid"/>
            </v:line>
          </v:group>
        </w:pict>
      </w:r>
      <w:r>
        <w:rPr>
          <w:rFonts w:ascii="Cambria"/>
          <w:sz w:val="2"/>
        </w:rPr>
      </w:r>
    </w:p>
    <w:p>
      <w:pPr>
        <w:spacing w:after="0" w:line="20" w:lineRule="exact"/>
        <w:rPr>
          <w:rFonts w:ascii="Cambria"/>
          <w:sz w:val="2"/>
        </w:rPr>
        <w:sectPr>
          <w:type w:val="continuous"/>
          <w:pgSz w:w="16840" w:h="11910" w:orient="landscape"/>
          <w:pgMar w:top="260" w:bottom="0" w:left="480" w:right="140"/>
        </w:sectPr>
      </w:pPr>
    </w:p>
    <w:p>
      <w:pPr>
        <w:spacing w:before="175"/>
        <w:ind w:left="0" w:right="0" w:firstLine="0"/>
        <w:jc w:val="right"/>
        <w:rPr>
          <w:sz w:val="24"/>
        </w:rPr>
      </w:pPr>
      <w:r>
        <w:rPr>
          <w:sz w:val="24"/>
        </w:rPr>
        <w:t>MMC2</w:t>
      </w:r>
    </w:p>
    <w:p>
      <w:pPr>
        <w:spacing w:line="240" w:lineRule="auto" w:before="7"/>
        <w:rPr>
          <w:sz w:val="16"/>
        </w:rPr>
      </w:pPr>
      <w:r>
        <w:rPr/>
        <w:br w:type="column"/>
      </w:r>
      <w:r>
        <w:rPr>
          <w:sz w:val="16"/>
        </w:rPr>
      </w:r>
    </w:p>
    <w:p>
      <w:pPr>
        <w:spacing w:before="0"/>
        <w:ind w:left="1621" w:right="0" w:firstLine="0"/>
        <w:jc w:val="left"/>
        <w:rPr>
          <w:rFonts w:ascii="Calibri"/>
          <w:i/>
          <w:sz w:val="20"/>
        </w:rPr>
      </w:pPr>
      <w:r>
        <w:rPr>
          <w:rFonts w:ascii="Calibri"/>
          <w:i/>
          <w:sz w:val="20"/>
        </w:rPr>
        <w:t>June 2025 PDF Version for completion by hand. Updates will be provided via your ICS</w:t>
      </w:r>
    </w:p>
    <w:p>
      <w:pPr>
        <w:spacing w:after="0"/>
        <w:jc w:val="left"/>
        <w:rPr>
          <w:rFonts w:ascii="Calibri"/>
          <w:sz w:val="20"/>
        </w:rPr>
        <w:sectPr>
          <w:type w:val="continuous"/>
          <w:pgSz w:w="16840" w:h="11910" w:orient="landscape"/>
          <w:pgMar w:top="260" w:bottom="0" w:left="480" w:right="140"/>
          <w:cols w:num="2" w:equalWidth="0">
            <w:col w:w="6901" w:space="40"/>
            <w:col w:w="9279"/>
          </w:cols>
        </w:sectPr>
      </w:pPr>
    </w:p>
    <w:p>
      <w:pPr>
        <w:pStyle w:val="Heading1"/>
        <w:rPr>
          <w:i/>
        </w:rPr>
      </w:pPr>
      <w:r>
        <w:rPr/>
        <w:drawing>
          <wp:anchor distT="0" distB="0" distL="0" distR="0" allowOverlap="1" layoutInCell="1" locked="0" behindDoc="0" simplePos="0" relativeHeight="251666432">
            <wp:simplePos x="0" y="0"/>
            <wp:positionH relativeFrom="page">
              <wp:posOffset>8772525</wp:posOffset>
            </wp:positionH>
            <wp:positionV relativeFrom="paragraph">
              <wp:posOffset>1289</wp:posOffset>
            </wp:positionV>
            <wp:extent cx="1724659" cy="71815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724659" cy="718159"/>
                    </a:xfrm>
                    <a:prstGeom prst="rect">
                      <a:avLst/>
                    </a:prstGeom>
                  </pic:spPr>
                </pic:pic>
              </a:graphicData>
            </a:graphic>
          </wp:anchor>
        </w:drawing>
      </w:r>
      <w:r>
        <w:rPr>
          <w:i/>
        </w:rPr>
        <w:t>On discharge, please ensure this authorisation form is transferred with the patient. Thank you.</w:t>
      </w:r>
    </w:p>
    <w:p>
      <w:pPr>
        <w:spacing w:before="60"/>
        <w:ind w:left="372" w:right="0" w:firstLine="0"/>
        <w:jc w:val="left"/>
        <w:rPr>
          <w:sz w:val="36"/>
        </w:rPr>
      </w:pPr>
      <w:r>
        <w:rPr>
          <w:sz w:val="36"/>
        </w:rPr>
        <w:t>Community </w:t>
      </w:r>
      <w:r>
        <w:rPr>
          <w:b/>
          <w:sz w:val="40"/>
        </w:rPr>
        <w:t>SYRINGE DRIVER </w:t>
      </w:r>
      <w:r>
        <w:rPr>
          <w:sz w:val="36"/>
        </w:rPr>
        <w:t>Medication Authorisation</w:t>
      </w:r>
    </w:p>
    <w:p>
      <w:pPr>
        <w:spacing w:line="240" w:lineRule="auto" w:before="4"/>
        <w:rPr>
          <w:sz w:val="18"/>
        </w:rPr>
      </w:pPr>
    </w:p>
    <w:p>
      <w:pPr>
        <w:pStyle w:val="BodyText"/>
        <w:spacing w:before="57"/>
        <w:ind w:left="513" w:right="1554"/>
      </w:pPr>
      <w:r>
        <w:rPr/>
        <w:t>A syringe driver is a small, portable battery-powered pump. It administers drugs under the skin (SC) by continuous infusion. It is a different way of giving drugs with little impact on patient mobility or independence. By maintaining steady drug levels in the blood, a syringe driver may improve symptom control.</w:t>
      </w:r>
    </w:p>
    <w:p>
      <w:pPr>
        <w:pStyle w:val="BodyText"/>
        <w:ind w:left="513"/>
      </w:pPr>
      <w:r>
        <w:rPr/>
        <w:t>The syringe driver is not only for patients who are in the final stages of their illness. If the problem resolves, it may be possible to return to using oral medications.</w:t>
      </w:r>
    </w:p>
    <w:p>
      <w:pPr>
        <w:pStyle w:val="BodyText"/>
        <w:spacing w:before="3" w:after="1"/>
        <w:rPr>
          <w:sz w:val="11"/>
        </w:rPr>
      </w:pPr>
    </w:p>
    <w:tbl>
      <w:tblPr>
        <w:tblW w:w="0" w:type="auto"/>
        <w:jc w:val="lef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63"/>
        <w:gridCol w:w="6519"/>
      </w:tblGrid>
      <w:tr>
        <w:trPr>
          <w:trHeight w:val="2212" w:hRule="atLeast"/>
        </w:trPr>
        <w:tc>
          <w:tcPr>
            <w:tcW w:w="8363" w:type="dxa"/>
          </w:tcPr>
          <w:p>
            <w:pPr>
              <w:pStyle w:val="TableParagraph"/>
              <w:spacing w:before="120"/>
              <w:ind w:left="107"/>
              <w:rPr>
                <w:b/>
                <w:sz w:val="22"/>
              </w:rPr>
            </w:pPr>
            <w:r>
              <w:rPr>
                <w:b/>
                <w:color w:val="4471C4"/>
                <w:sz w:val="22"/>
              </w:rPr>
              <w:t>Indications for, starting &amp; continuing to use, a Syringe Driver</w:t>
            </w:r>
          </w:p>
          <w:p>
            <w:pPr>
              <w:pStyle w:val="TableParagraph"/>
              <w:numPr>
                <w:ilvl w:val="0"/>
                <w:numId w:val="1"/>
              </w:numPr>
              <w:tabs>
                <w:tab w:pos="534" w:val="left" w:leader="none"/>
                <w:tab w:pos="535" w:val="left" w:leader="none"/>
              </w:tabs>
              <w:spacing w:line="244" w:lineRule="exact" w:before="1" w:after="0"/>
              <w:ind w:left="535" w:right="0" w:hanging="361"/>
              <w:jc w:val="left"/>
              <w:rPr>
                <w:sz w:val="20"/>
              </w:rPr>
            </w:pPr>
            <w:r>
              <w:rPr>
                <w:sz w:val="20"/>
              </w:rPr>
              <w:t>Persistent vomiting, with or without</w:t>
            </w:r>
            <w:r>
              <w:rPr>
                <w:spacing w:val="1"/>
                <w:sz w:val="20"/>
              </w:rPr>
              <w:t> </w:t>
            </w:r>
            <w:r>
              <w:rPr>
                <w:sz w:val="20"/>
              </w:rPr>
              <w:t>nausea.</w:t>
            </w:r>
          </w:p>
          <w:p>
            <w:pPr>
              <w:pStyle w:val="TableParagraph"/>
              <w:numPr>
                <w:ilvl w:val="0"/>
                <w:numId w:val="1"/>
              </w:numPr>
              <w:tabs>
                <w:tab w:pos="534" w:val="left" w:leader="none"/>
                <w:tab w:pos="535" w:val="left" w:leader="none"/>
              </w:tabs>
              <w:spacing w:line="244" w:lineRule="exact" w:before="0" w:after="0"/>
              <w:ind w:left="535" w:right="0" w:hanging="361"/>
              <w:jc w:val="left"/>
              <w:rPr>
                <w:sz w:val="20"/>
              </w:rPr>
            </w:pPr>
            <w:r>
              <w:rPr>
                <w:sz w:val="20"/>
              </w:rPr>
              <w:t>Difficulty swallowing (e.g. oral tumours, sores, infections or</w:t>
            </w:r>
            <w:r>
              <w:rPr>
                <w:spacing w:val="-8"/>
                <w:sz w:val="20"/>
              </w:rPr>
              <w:t> </w:t>
            </w:r>
            <w:r>
              <w:rPr>
                <w:sz w:val="20"/>
              </w:rPr>
              <w:t>dysphagia).</w:t>
            </w:r>
          </w:p>
          <w:p>
            <w:pPr>
              <w:pStyle w:val="TableParagraph"/>
              <w:numPr>
                <w:ilvl w:val="0"/>
                <w:numId w:val="1"/>
              </w:numPr>
              <w:tabs>
                <w:tab w:pos="534" w:val="left" w:leader="none"/>
                <w:tab w:pos="535" w:val="left" w:leader="none"/>
              </w:tabs>
              <w:spacing w:line="244" w:lineRule="exact" w:before="0" w:after="0"/>
              <w:ind w:left="535" w:right="0" w:hanging="361"/>
              <w:jc w:val="left"/>
              <w:rPr>
                <w:sz w:val="20"/>
              </w:rPr>
            </w:pPr>
            <w:r>
              <w:rPr>
                <w:sz w:val="20"/>
              </w:rPr>
              <w:t>Intestinal</w:t>
            </w:r>
            <w:r>
              <w:rPr>
                <w:spacing w:val="-3"/>
                <w:sz w:val="20"/>
              </w:rPr>
              <w:t> </w:t>
            </w:r>
            <w:r>
              <w:rPr>
                <w:sz w:val="20"/>
              </w:rPr>
              <w:t>obstruction.</w:t>
            </w:r>
          </w:p>
          <w:p>
            <w:pPr>
              <w:pStyle w:val="TableParagraph"/>
              <w:numPr>
                <w:ilvl w:val="0"/>
                <w:numId w:val="1"/>
              </w:numPr>
              <w:tabs>
                <w:tab w:pos="534" w:val="left" w:leader="none"/>
                <w:tab w:pos="535" w:val="left" w:leader="none"/>
              </w:tabs>
              <w:spacing w:line="237" w:lineRule="auto" w:before="1" w:after="0"/>
              <w:ind w:left="534" w:right="385" w:hanging="360"/>
              <w:jc w:val="left"/>
              <w:rPr>
                <w:sz w:val="20"/>
              </w:rPr>
            </w:pPr>
            <w:r>
              <w:rPr>
                <w:sz w:val="20"/>
              </w:rPr>
              <w:t>Poor absorption of oral drugs is rare but can be seen with ascites or end stage</w:t>
            </w:r>
            <w:r>
              <w:rPr>
                <w:spacing w:val="-19"/>
                <w:sz w:val="20"/>
              </w:rPr>
              <w:t> </w:t>
            </w:r>
            <w:r>
              <w:rPr>
                <w:sz w:val="20"/>
              </w:rPr>
              <w:t>heart failure when the bowel is thought to be</w:t>
            </w:r>
            <w:r>
              <w:rPr>
                <w:spacing w:val="-1"/>
                <w:sz w:val="20"/>
              </w:rPr>
              <w:t> </w:t>
            </w:r>
            <w:r>
              <w:rPr>
                <w:sz w:val="20"/>
              </w:rPr>
              <w:t>oedematous.</w:t>
            </w:r>
          </w:p>
          <w:p>
            <w:pPr>
              <w:pStyle w:val="TableParagraph"/>
              <w:numPr>
                <w:ilvl w:val="0"/>
                <w:numId w:val="1"/>
              </w:numPr>
              <w:tabs>
                <w:tab w:pos="534" w:val="left" w:leader="none"/>
                <w:tab w:pos="535" w:val="left" w:leader="none"/>
              </w:tabs>
              <w:spacing w:line="245" w:lineRule="exact" w:before="1" w:after="0"/>
              <w:ind w:left="535" w:right="0" w:hanging="361"/>
              <w:jc w:val="left"/>
              <w:rPr>
                <w:sz w:val="20"/>
              </w:rPr>
            </w:pPr>
            <w:r>
              <w:rPr>
                <w:sz w:val="20"/>
              </w:rPr>
              <w:t>Weak, fatigued or unconscious</w:t>
            </w:r>
            <w:r>
              <w:rPr>
                <w:spacing w:val="-1"/>
                <w:sz w:val="20"/>
              </w:rPr>
              <w:t> </w:t>
            </w:r>
            <w:r>
              <w:rPr>
                <w:sz w:val="20"/>
              </w:rPr>
              <w:t>patient.</w:t>
            </w:r>
          </w:p>
          <w:p>
            <w:pPr>
              <w:pStyle w:val="TableParagraph"/>
              <w:numPr>
                <w:ilvl w:val="0"/>
                <w:numId w:val="1"/>
              </w:numPr>
              <w:tabs>
                <w:tab w:pos="534" w:val="left" w:leader="none"/>
                <w:tab w:pos="535" w:val="left" w:leader="none"/>
              </w:tabs>
              <w:spacing w:line="240" w:lineRule="auto" w:before="0" w:after="0"/>
              <w:ind w:left="535" w:right="0" w:hanging="361"/>
              <w:jc w:val="left"/>
              <w:rPr>
                <w:sz w:val="20"/>
              </w:rPr>
            </w:pPr>
            <w:r>
              <w:rPr>
                <w:sz w:val="20"/>
              </w:rPr>
              <w:t>Administration of drugs that cannot be given by another</w:t>
            </w:r>
            <w:r>
              <w:rPr>
                <w:spacing w:val="-2"/>
                <w:sz w:val="20"/>
              </w:rPr>
              <w:t> </w:t>
            </w:r>
            <w:r>
              <w:rPr>
                <w:sz w:val="20"/>
              </w:rPr>
              <w:t>route.</w:t>
            </w:r>
          </w:p>
        </w:tc>
        <w:tc>
          <w:tcPr>
            <w:tcW w:w="6519" w:type="dxa"/>
          </w:tcPr>
          <w:p>
            <w:pPr>
              <w:pStyle w:val="TableParagraph"/>
              <w:spacing w:before="120"/>
              <w:ind w:left="107"/>
              <w:rPr>
                <w:b/>
                <w:sz w:val="22"/>
              </w:rPr>
            </w:pPr>
            <w:r>
              <w:rPr>
                <w:b/>
                <w:color w:val="4471C4"/>
                <w:sz w:val="22"/>
              </w:rPr>
              <w:t>Patient, family and carers</w:t>
            </w:r>
          </w:p>
          <w:p>
            <w:pPr>
              <w:pStyle w:val="TableParagraph"/>
              <w:spacing w:before="1"/>
              <w:ind w:left="107" w:right="118"/>
              <w:rPr>
                <w:sz w:val="20"/>
              </w:rPr>
            </w:pPr>
            <w:r>
              <w:rPr>
                <w:sz w:val="20"/>
              </w:rPr>
              <w:t>Before setting up the syringe driver, explain to the patient and family the reason for using it, how it works and the risk of infusion site reactions. Provide a patient information leaflet where available.</w:t>
            </w:r>
          </w:p>
          <w:p>
            <w:pPr>
              <w:pStyle w:val="TableParagraph"/>
              <w:spacing w:line="229" w:lineRule="exact"/>
              <w:ind w:left="107"/>
              <w:rPr>
                <w:sz w:val="20"/>
              </w:rPr>
            </w:pPr>
            <w:r>
              <w:rPr>
                <w:sz w:val="20"/>
              </w:rPr>
              <w:t>Also;</w:t>
            </w:r>
          </w:p>
          <w:p>
            <w:pPr>
              <w:pStyle w:val="TableParagraph"/>
              <w:numPr>
                <w:ilvl w:val="0"/>
                <w:numId w:val="2"/>
              </w:numPr>
              <w:tabs>
                <w:tab w:pos="534" w:val="left" w:leader="none"/>
                <w:tab w:pos="535" w:val="left" w:leader="none"/>
              </w:tabs>
              <w:spacing w:line="244" w:lineRule="exact" w:before="1" w:after="0"/>
              <w:ind w:left="535" w:right="0" w:hanging="360"/>
              <w:jc w:val="left"/>
              <w:rPr>
                <w:sz w:val="20"/>
              </w:rPr>
            </w:pPr>
            <w:r>
              <w:rPr>
                <w:sz w:val="20"/>
              </w:rPr>
              <w:t>What action to take if the alarm</w:t>
            </w:r>
            <w:r>
              <w:rPr>
                <w:spacing w:val="-3"/>
                <w:sz w:val="20"/>
              </w:rPr>
              <w:t> </w:t>
            </w:r>
            <w:r>
              <w:rPr>
                <w:sz w:val="20"/>
              </w:rPr>
              <w:t>sounds?</w:t>
            </w:r>
          </w:p>
          <w:p>
            <w:pPr>
              <w:pStyle w:val="TableParagraph"/>
              <w:numPr>
                <w:ilvl w:val="0"/>
                <w:numId w:val="2"/>
              </w:numPr>
              <w:tabs>
                <w:tab w:pos="534" w:val="left" w:leader="none"/>
                <w:tab w:pos="535" w:val="left" w:leader="none"/>
              </w:tabs>
              <w:spacing w:line="244" w:lineRule="exact" w:before="0" w:after="0"/>
              <w:ind w:left="535" w:right="0" w:hanging="360"/>
              <w:jc w:val="left"/>
              <w:rPr>
                <w:sz w:val="20"/>
              </w:rPr>
            </w:pPr>
            <w:r>
              <w:rPr>
                <w:sz w:val="20"/>
              </w:rPr>
              <w:t>Who to contact if in need of help and</w:t>
            </w:r>
            <w:r>
              <w:rPr>
                <w:spacing w:val="-4"/>
                <w:sz w:val="20"/>
              </w:rPr>
              <w:t> </w:t>
            </w:r>
            <w:r>
              <w:rPr>
                <w:sz w:val="20"/>
              </w:rPr>
              <w:t>advice?</w:t>
            </w:r>
          </w:p>
          <w:p>
            <w:pPr>
              <w:pStyle w:val="TableParagraph"/>
              <w:numPr>
                <w:ilvl w:val="0"/>
                <w:numId w:val="2"/>
              </w:numPr>
              <w:tabs>
                <w:tab w:pos="534" w:val="left" w:leader="none"/>
                <w:tab w:pos="535" w:val="left" w:leader="none"/>
              </w:tabs>
              <w:spacing w:line="240" w:lineRule="auto" w:before="0" w:after="0"/>
              <w:ind w:left="535" w:right="0" w:hanging="360"/>
              <w:jc w:val="left"/>
              <w:rPr>
                <w:sz w:val="20"/>
              </w:rPr>
            </w:pPr>
            <w:r>
              <w:rPr>
                <w:sz w:val="20"/>
              </w:rPr>
              <w:t>Basic information on the drugs being given.</w:t>
            </w:r>
          </w:p>
        </w:tc>
      </w:tr>
      <w:tr>
        <w:trPr>
          <w:trHeight w:val="3583" w:hRule="atLeast"/>
        </w:trPr>
        <w:tc>
          <w:tcPr>
            <w:tcW w:w="8363" w:type="dxa"/>
          </w:tcPr>
          <w:p>
            <w:pPr>
              <w:pStyle w:val="TableParagraph"/>
              <w:spacing w:line="252" w:lineRule="exact" w:before="120"/>
              <w:ind w:left="107"/>
              <w:rPr>
                <w:b/>
                <w:sz w:val="22"/>
              </w:rPr>
            </w:pPr>
            <w:r>
              <w:rPr>
                <w:b/>
                <w:color w:val="4471C4"/>
                <w:sz w:val="22"/>
              </w:rPr>
              <w:t>Dosing ‡ </w:t>
            </w:r>
            <w:r>
              <w:rPr>
                <w:b/>
                <w:sz w:val="20"/>
              </w:rPr>
              <w:t>see also </w:t>
            </w:r>
            <w:r>
              <w:rPr>
                <w:b/>
                <w:color w:val="0462C1"/>
                <w:sz w:val="22"/>
                <w:u w:val="thick" w:color="0462C1"/>
              </w:rPr>
              <w:t>End of Life Meds Worksheet</w:t>
            </w:r>
          </w:p>
          <w:p>
            <w:pPr>
              <w:pStyle w:val="TableParagraph"/>
              <w:ind w:left="107" w:right="4049"/>
              <w:rPr>
                <w:sz w:val="20"/>
              </w:rPr>
            </w:pPr>
            <w:r>
              <w:rPr>
                <w:color w:val="0462C1"/>
                <w:sz w:val="20"/>
              </w:rPr>
              <w:t>(</w:t>
            </w:r>
            <w:hyperlink r:id="rId6">
              <w:r>
                <w:rPr>
                  <w:rFonts w:ascii="Calibri"/>
                  <w:color w:val="0462C1"/>
                  <w:sz w:val="18"/>
                </w:rPr>
                <w:t>www.futureplanning.org.uk/EoLmedsworksheet)</w:t>
              </w:r>
            </w:hyperlink>
            <w:r>
              <w:rPr>
                <w:rFonts w:ascii="Calibri"/>
                <w:color w:val="0462C1"/>
                <w:sz w:val="18"/>
              </w:rPr>
              <w:t> </w:t>
            </w:r>
            <w:r>
              <w:rPr>
                <w:sz w:val="20"/>
              </w:rPr>
              <w:t>Doses should be chosen after considering:</w:t>
            </w:r>
          </w:p>
          <w:p>
            <w:pPr>
              <w:pStyle w:val="TableParagraph"/>
              <w:numPr>
                <w:ilvl w:val="0"/>
                <w:numId w:val="3"/>
              </w:numPr>
              <w:tabs>
                <w:tab w:pos="568" w:val="left" w:leader="none"/>
                <w:tab w:pos="569" w:val="left" w:leader="none"/>
              </w:tabs>
              <w:spacing w:line="245" w:lineRule="exact" w:before="0" w:after="0"/>
              <w:ind w:left="568" w:right="0" w:hanging="428"/>
              <w:jc w:val="left"/>
              <w:rPr>
                <w:sz w:val="20"/>
              </w:rPr>
            </w:pPr>
            <w:r>
              <w:rPr>
                <w:sz w:val="20"/>
              </w:rPr>
              <w:t>Previous oral medications, if any, e.g. opioids, anti-psychotics,</w:t>
            </w:r>
            <w:r>
              <w:rPr>
                <w:spacing w:val="-13"/>
                <w:sz w:val="20"/>
              </w:rPr>
              <w:t> </w:t>
            </w:r>
            <w:r>
              <w:rPr>
                <w:sz w:val="20"/>
              </w:rPr>
              <w:t>benzodiazepines.</w:t>
            </w:r>
          </w:p>
          <w:p>
            <w:pPr>
              <w:pStyle w:val="TableParagraph"/>
              <w:numPr>
                <w:ilvl w:val="0"/>
                <w:numId w:val="3"/>
              </w:numPr>
              <w:tabs>
                <w:tab w:pos="568" w:val="left" w:leader="none"/>
                <w:tab w:pos="569" w:val="left" w:leader="none"/>
              </w:tabs>
              <w:spacing w:line="244" w:lineRule="exact" w:before="0" w:after="0"/>
              <w:ind w:left="568" w:right="0" w:hanging="428"/>
              <w:jc w:val="left"/>
              <w:rPr>
                <w:sz w:val="20"/>
              </w:rPr>
            </w:pPr>
            <w:r>
              <w:rPr>
                <w:sz w:val="20"/>
              </w:rPr>
              <w:t>Patient response to oral &amp; SC PRN medications in the last</w:t>
            </w:r>
            <w:r>
              <w:rPr>
                <w:spacing w:val="-1"/>
                <w:sz w:val="20"/>
              </w:rPr>
              <w:t> </w:t>
            </w:r>
            <w:r>
              <w:rPr>
                <w:sz w:val="20"/>
              </w:rPr>
              <w:t>24hrs.</w:t>
            </w:r>
          </w:p>
          <w:p>
            <w:pPr>
              <w:pStyle w:val="TableParagraph"/>
              <w:numPr>
                <w:ilvl w:val="0"/>
                <w:numId w:val="3"/>
              </w:numPr>
              <w:tabs>
                <w:tab w:pos="568" w:val="left" w:leader="none"/>
                <w:tab w:pos="569" w:val="left" w:leader="none"/>
              </w:tabs>
              <w:spacing w:line="244" w:lineRule="exact" w:before="0" w:after="0"/>
              <w:ind w:left="568" w:right="0" w:hanging="428"/>
              <w:jc w:val="left"/>
              <w:rPr>
                <w:sz w:val="20"/>
              </w:rPr>
            </w:pPr>
            <w:r>
              <w:rPr>
                <w:sz w:val="20"/>
              </w:rPr>
              <w:t>Renal function, particularly if the eGFR is</w:t>
            </w:r>
            <w:r>
              <w:rPr>
                <w:spacing w:val="-3"/>
                <w:sz w:val="20"/>
              </w:rPr>
              <w:t> </w:t>
            </w:r>
            <w:r>
              <w:rPr>
                <w:sz w:val="20"/>
              </w:rPr>
              <w:t>&lt;30.</w:t>
            </w:r>
          </w:p>
          <w:p>
            <w:pPr>
              <w:pStyle w:val="TableParagraph"/>
              <w:numPr>
                <w:ilvl w:val="0"/>
                <w:numId w:val="3"/>
              </w:numPr>
              <w:tabs>
                <w:tab w:pos="568" w:val="left" w:leader="none"/>
                <w:tab w:pos="569" w:val="left" w:leader="none"/>
              </w:tabs>
              <w:spacing w:line="244" w:lineRule="exact" w:before="0" w:after="0"/>
              <w:ind w:left="568" w:right="0" w:hanging="428"/>
              <w:jc w:val="left"/>
              <w:rPr>
                <w:sz w:val="20"/>
              </w:rPr>
            </w:pPr>
            <w:r>
              <w:rPr>
                <w:sz w:val="20"/>
              </w:rPr>
              <w:t>Intended purpose of medication. Aim to control symptoms, not</w:t>
            </w:r>
            <w:r>
              <w:rPr>
                <w:spacing w:val="-9"/>
                <w:sz w:val="20"/>
              </w:rPr>
              <w:t> </w:t>
            </w:r>
            <w:r>
              <w:rPr>
                <w:sz w:val="20"/>
              </w:rPr>
              <w:t>sedate.</w:t>
            </w:r>
          </w:p>
          <w:p>
            <w:pPr>
              <w:pStyle w:val="TableParagraph"/>
              <w:numPr>
                <w:ilvl w:val="0"/>
                <w:numId w:val="3"/>
              </w:numPr>
              <w:tabs>
                <w:tab w:pos="568" w:val="left" w:leader="none"/>
                <w:tab w:pos="569" w:val="left" w:leader="none"/>
              </w:tabs>
              <w:spacing w:line="244" w:lineRule="exact" w:before="0" w:after="0"/>
              <w:ind w:left="568" w:right="0" w:hanging="428"/>
              <w:jc w:val="left"/>
              <w:rPr>
                <w:sz w:val="20"/>
              </w:rPr>
            </w:pPr>
            <w:r>
              <w:rPr>
                <w:sz w:val="20"/>
              </w:rPr>
              <w:t>Always start at the lower end of the dose range, unless advised by a</w:t>
            </w:r>
            <w:r>
              <w:rPr>
                <w:spacing w:val="-11"/>
                <w:sz w:val="20"/>
              </w:rPr>
              <w:t> </w:t>
            </w:r>
            <w:r>
              <w:rPr>
                <w:sz w:val="20"/>
              </w:rPr>
              <w:t>prescriber.</w:t>
            </w:r>
          </w:p>
          <w:p>
            <w:pPr>
              <w:pStyle w:val="TableParagraph"/>
              <w:spacing w:before="116"/>
              <w:ind w:left="107"/>
              <w:rPr>
                <w:sz w:val="20"/>
              </w:rPr>
            </w:pPr>
            <w:r>
              <w:rPr>
                <w:sz w:val="20"/>
              </w:rPr>
              <w:t>In the community setting, dose ranges may be prescribed.</w:t>
            </w:r>
          </w:p>
          <w:p>
            <w:pPr>
              <w:pStyle w:val="TableParagraph"/>
              <w:numPr>
                <w:ilvl w:val="0"/>
                <w:numId w:val="3"/>
              </w:numPr>
              <w:tabs>
                <w:tab w:pos="568" w:val="left" w:leader="none"/>
                <w:tab w:pos="569" w:val="left" w:leader="none"/>
              </w:tabs>
              <w:spacing w:line="245" w:lineRule="exact" w:before="1" w:after="0"/>
              <w:ind w:left="568" w:right="0" w:hanging="428"/>
              <w:jc w:val="left"/>
              <w:rPr>
                <w:sz w:val="20"/>
              </w:rPr>
            </w:pPr>
            <w:r>
              <w:rPr>
                <w:sz w:val="20"/>
              </w:rPr>
              <w:t>The reason for any change in dose administered should be</w:t>
            </w:r>
            <w:r>
              <w:rPr>
                <w:spacing w:val="-12"/>
                <w:sz w:val="20"/>
              </w:rPr>
              <w:t> </w:t>
            </w:r>
            <w:r>
              <w:rPr>
                <w:sz w:val="20"/>
              </w:rPr>
              <w:t>recorded.</w:t>
            </w:r>
          </w:p>
          <w:p>
            <w:pPr>
              <w:pStyle w:val="TableParagraph"/>
              <w:numPr>
                <w:ilvl w:val="0"/>
                <w:numId w:val="3"/>
              </w:numPr>
              <w:tabs>
                <w:tab w:pos="568" w:val="left" w:leader="none"/>
                <w:tab w:pos="569" w:val="left" w:leader="none"/>
              </w:tabs>
              <w:spacing w:line="235" w:lineRule="auto" w:before="4" w:after="0"/>
              <w:ind w:left="568" w:right="842" w:hanging="428"/>
              <w:jc w:val="left"/>
              <w:rPr>
                <w:sz w:val="20"/>
              </w:rPr>
            </w:pPr>
            <w:r>
              <w:rPr>
                <w:sz w:val="20"/>
              </w:rPr>
              <w:t>A good range should allow no more than two 50% increases before requiring</w:t>
            </w:r>
            <w:r>
              <w:rPr>
                <w:spacing w:val="-24"/>
                <w:sz w:val="20"/>
              </w:rPr>
              <w:t> </w:t>
            </w:r>
            <w:r>
              <w:rPr>
                <w:sz w:val="20"/>
              </w:rPr>
              <w:t>a prescriber</w:t>
            </w:r>
            <w:r>
              <w:rPr>
                <w:spacing w:val="-1"/>
                <w:sz w:val="20"/>
              </w:rPr>
              <w:t> </w:t>
            </w:r>
            <w:r>
              <w:rPr>
                <w:sz w:val="20"/>
              </w:rPr>
              <w:t>review.</w:t>
            </w:r>
          </w:p>
          <w:p>
            <w:pPr>
              <w:pStyle w:val="TableParagraph"/>
              <w:spacing w:line="230" w:lineRule="atLeast" w:before="3"/>
              <w:ind w:left="141" w:right="39"/>
              <w:rPr>
                <w:sz w:val="20"/>
              </w:rPr>
            </w:pPr>
            <w:r>
              <w:rPr>
                <w:sz w:val="20"/>
              </w:rPr>
              <w:t>When increasing a syringe driver dose or range please consider whether PRN doses will also need to be increased.</w:t>
            </w:r>
          </w:p>
        </w:tc>
        <w:tc>
          <w:tcPr>
            <w:tcW w:w="6519" w:type="dxa"/>
          </w:tcPr>
          <w:p>
            <w:pPr>
              <w:pStyle w:val="TableParagraph"/>
              <w:spacing w:line="252" w:lineRule="exact" w:before="120"/>
              <w:ind w:left="107"/>
              <w:rPr>
                <w:b/>
                <w:sz w:val="22"/>
              </w:rPr>
            </w:pPr>
            <w:r>
              <w:rPr>
                <w:b/>
                <w:color w:val="4471C4"/>
                <w:sz w:val="22"/>
              </w:rPr>
              <w:t>Practical Points – Green Book Page 88</w:t>
            </w:r>
          </w:p>
          <w:p>
            <w:pPr>
              <w:pStyle w:val="TableParagraph"/>
              <w:numPr>
                <w:ilvl w:val="0"/>
                <w:numId w:val="4"/>
              </w:numPr>
              <w:tabs>
                <w:tab w:pos="521" w:val="left" w:leader="none"/>
              </w:tabs>
              <w:spacing w:line="240" w:lineRule="auto" w:before="0" w:after="0"/>
              <w:ind w:left="520" w:right="322" w:hanging="356"/>
              <w:jc w:val="left"/>
              <w:rPr>
                <w:sz w:val="20"/>
              </w:rPr>
            </w:pPr>
            <w:r>
              <w:rPr>
                <w:sz w:val="20"/>
              </w:rPr>
              <w:t>Dependent on the half-life of the drug being administered via syringe driver, the delay between starting / changing the dose</w:t>
            </w:r>
            <w:r>
              <w:rPr>
                <w:spacing w:val="-22"/>
                <w:sz w:val="20"/>
              </w:rPr>
              <w:t> </w:t>
            </w:r>
            <w:r>
              <w:rPr>
                <w:sz w:val="20"/>
              </w:rPr>
              <w:t>of the medication and the full clinical effect will vary, ranging from hours to days. Continue to use PRN meds in the</w:t>
            </w:r>
            <w:r>
              <w:rPr>
                <w:spacing w:val="-7"/>
                <w:sz w:val="20"/>
              </w:rPr>
              <w:t> </w:t>
            </w:r>
            <w:r>
              <w:rPr>
                <w:sz w:val="20"/>
              </w:rPr>
              <w:t>meantime.</w:t>
            </w:r>
          </w:p>
          <w:p>
            <w:pPr>
              <w:pStyle w:val="TableParagraph"/>
              <w:numPr>
                <w:ilvl w:val="0"/>
                <w:numId w:val="4"/>
              </w:numPr>
              <w:tabs>
                <w:tab w:pos="521" w:val="left" w:leader="none"/>
              </w:tabs>
              <w:spacing w:line="240" w:lineRule="auto" w:before="0" w:after="0"/>
              <w:ind w:left="520" w:right="445" w:hanging="356"/>
              <w:jc w:val="left"/>
              <w:rPr>
                <w:sz w:val="20"/>
              </w:rPr>
            </w:pPr>
            <w:r>
              <w:rPr>
                <w:sz w:val="20"/>
              </w:rPr>
              <w:t>Management of infusion site reactions – see Green Book. Cyclizine &amp; levomepromazine are irritant, esp. at higher</w:t>
            </w:r>
            <w:r>
              <w:rPr>
                <w:spacing w:val="-16"/>
                <w:sz w:val="20"/>
              </w:rPr>
              <w:t> </w:t>
            </w:r>
            <w:r>
              <w:rPr>
                <w:sz w:val="20"/>
              </w:rPr>
              <w:t>doses; dilute with WFI as much as possible.</w:t>
            </w:r>
          </w:p>
          <w:p>
            <w:pPr>
              <w:pStyle w:val="TableParagraph"/>
              <w:numPr>
                <w:ilvl w:val="0"/>
                <w:numId w:val="4"/>
              </w:numPr>
              <w:tabs>
                <w:tab w:pos="521" w:val="left" w:leader="none"/>
              </w:tabs>
              <w:spacing w:line="240" w:lineRule="auto" w:before="0" w:after="0"/>
              <w:ind w:left="520" w:right="255" w:hanging="356"/>
              <w:jc w:val="left"/>
              <w:rPr>
                <w:sz w:val="20"/>
              </w:rPr>
            </w:pPr>
            <w:r>
              <w:rPr>
                <w:sz w:val="20"/>
              </w:rPr>
              <w:t>If precipitation (cloudy mixture) occurs – see Green Book &amp;</w:t>
            </w:r>
            <w:r>
              <w:rPr>
                <w:spacing w:val="-19"/>
                <w:sz w:val="20"/>
              </w:rPr>
              <w:t> </w:t>
            </w:r>
            <w:r>
              <w:rPr>
                <w:sz w:val="20"/>
              </w:rPr>
              <w:t>Trust Policies (SHFT -</w:t>
            </w:r>
            <w:r>
              <w:rPr>
                <w:color w:val="0462C1"/>
                <w:sz w:val="20"/>
              </w:rPr>
              <w:t> </w:t>
            </w:r>
            <w:r>
              <w:rPr>
                <w:rFonts w:ascii="Calibri" w:hAnsi="Calibri"/>
                <w:color w:val="0462C1"/>
                <w:sz w:val="22"/>
                <w:u w:val="single" w:color="0462C1"/>
              </w:rPr>
              <w:t>SH CP 94</w:t>
            </w:r>
            <w:r>
              <w:rPr>
                <w:rFonts w:ascii="Calibri" w:hAnsi="Calibri"/>
                <w:color w:val="0462C1"/>
                <w:spacing w:val="-4"/>
                <w:sz w:val="22"/>
              </w:rPr>
              <w:t> </w:t>
            </w:r>
            <w:r>
              <w:rPr>
                <w:rFonts w:ascii="Calibri" w:hAnsi="Calibri"/>
                <w:sz w:val="22"/>
              </w:rPr>
              <w:t>p8)</w:t>
            </w:r>
            <w:r>
              <w:rPr>
                <w:sz w:val="20"/>
              </w:rPr>
              <w:t>.</w:t>
            </w:r>
          </w:p>
          <w:p>
            <w:pPr>
              <w:pStyle w:val="TableParagraph"/>
              <w:numPr>
                <w:ilvl w:val="0"/>
                <w:numId w:val="4"/>
              </w:numPr>
              <w:tabs>
                <w:tab w:pos="520" w:val="left" w:leader="none"/>
                <w:tab w:pos="521" w:val="left" w:leader="none"/>
              </w:tabs>
              <w:spacing w:line="225" w:lineRule="auto" w:before="11" w:after="0"/>
              <w:ind w:left="520" w:right="690" w:hanging="356"/>
              <w:jc w:val="left"/>
              <w:rPr>
                <w:rFonts w:ascii="Calibri"/>
                <w:sz w:val="20"/>
              </w:rPr>
            </w:pPr>
            <w:r>
              <w:rPr>
                <w:sz w:val="20"/>
              </w:rPr>
              <w:t>The MHRA recommends Duracell MN 1604 batteries for</w:t>
            </w:r>
            <w:r>
              <w:rPr>
                <w:spacing w:val="-18"/>
                <w:sz w:val="20"/>
              </w:rPr>
              <w:t> </w:t>
            </w:r>
            <w:r>
              <w:rPr>
                <w:sz w:val="20"/>
              </w:rPr>
              <w:t>the McKinley T34 Syringe Driver.</w:t>
            </w:r>
          </w:p>
        </w:tc>
      </w:tr>
      <w:tr>
        <w:trPr>
          <w:trHeight w:val="1533" w:hRule="atLeast"/>
        </w:trPr>
        <w:tc>
          <w:tcPr>
            <w:tcW w:w="14882" w:type="dxa"/>
            <w:gridSpan w:val="2"/>
          </w:tcPr>
          <w:p>
            <w:pPr>
              <w:pStyle w:val="TableParagraph"/>
              <w:spacing w:before="120"/>
              <w:ind w:left="107"/>
              <w:rPr>
                <w:b/>
                <w:sz w:val="22"/>
              </w:rPr>
            </w:pPr>
            <w:r>
              <w:rPr>
                <w:b/>
                <w:color w:val="4471C4"/>
                <w:sz w:val="22"/>
              </w:rPr>
              <w:t>Drug compatibilities</w:t>
            </w:r>
          </w:p>
          <w:p>
            <w:pPr>
              <w:pStyle w:val="TableParagraph"/>
              <w:spacing w:line="302" w:lineRule="auto" w:before="59"/>
              <w:ind w:left="107" w:right="3111"/>
              <w:rPr>
                <w:sz w:val="20"/>
              </w:rPr>
            </w:pPr>
            <w:r>
              <w:rPr>
                <w:sz w:val="20"/>
              </w:rPr>
              <w:t>Water for injection </w:t>
            </w:r>
            <w:r>
              <w:rPr>
                <w:spacing w:val="-4"/>
                <w:sz w:val="20"/>
              </w:rPr>
              <w:t>(WFI) </w:t>
            </w:r>
            <w:r>
              <w:rPr>
                <w:sz w:val="20"/>
              </w:rPr>
              <w:t>is the commonest diluent, </w:t>
            </w:r>
            <w:r>
              <w:rPr>
                <w:i/>
                <w:sz w:val="20"/>
              </w:rPr>
              <w:t>however </w:t>
            </w:r>
            <w:r>
              <w:rPr>
                <w:spacing w:val="-3"/>
                <w:sz w:val="20"/>
              </w:rPr>
              <w:t>0.9% </w:t>
            </w:r>
            <w:r>
              <w:rPr>
                <w:sz w:val="20"/>
              </w:rPr>
              <w:t>saline may be used for several </w:t>
            </w:r>
            <w:r>
              <w:rPr>
                <w:spacing w:val="-5"/>
                <w:sz w:val="20"/>
              </w:rPr>
              <w:t>rarely </w:t>
            </w:r>
            <w:r>
              <w:rPr>
                <w:spacing w:val="-4"/>
                <w:sz w:val="20"/>
              </w:rPr>
              <w:t>used and </w:t>
            </w:r>
            <w:r>
              <w:rPr>
                <w:spacing w:val="-5"/>
                <w:sz w:val="20"/>
              </w:rPr>
              <w:t>specialist </w:t>
            </w:r>
            <w:r>
              <w:rPr>
                <w:sz w:val="20"/>
              </w:rPr>
              <w:t>drugs. NB. 0.9% saline is incompatible with cyclizine</w:t>
            </w:r>
          </w:p>
          <w:p>
            <w:pPr>
              <w:pStyle w:val="TableParagraph"/>
              <w:spacing w:before="1"/>
              <w:ind w:left="107"/>
              <w:rPr>
                <w:sz w:val="20"/>
              </w:rPr>
            </w:pPr>
            <w:r>
              <w:rPr>
                <w:sz w:val="20"/>
              </w:rPr>
              <w:t>All commonly used End of Life drug combinations are compatible. If using cyclizine and hyoscine butylbromide together then use maximum diluent in a 30ml syringe.</w:t>
            </w:r>
          </w:p>
          <w:p>
            <w:pPr>
              <w:pStyle w:val="TableParagraph"/>
              <w:spacing w:line="211" w:lineRule="exact" w:before="60"/>
              <w:ind w:left="107"/>
              <w:rPr>
                <w:sz w:val="20"/>
              </w:rPr>
            </w:pPr>
            <w:r>
              <w:rPr>
                <w:sz w:val="20"/>
              </w:rPr>
              <w:t>Check with local Palliative Care Team, pharmacy, Palliative Care Formulary 6</w:t>
            </w:r>
            <w:r>
              <w:rPr>
                <w:position w:val="6"/>
                <w:sz w:val="13"/>
              </w:rPr>
              <w:t>th </w:t>
            </w:r>
            <w:r>
              <w:rPr>
                <w:sz w:val="20"/>
              </w:rPr>
              <w:t>edition if using an unusual combination.</w:t>
            </w:r>
          </w:p>
        </w:tc>
      </w:tr>
      <w:tr>
        <w:trPr>
          <w:trHeight w:val="1182" w:hRule="atLeast"/>
        </w:trPr>
        <w:tc>
          <w:tcPr>
            <w:tcW w:w="14882" w:type="dxa"/>
            <w:gridSpan w:val="2"/>
          </w:tcPr>
          <w:p>
            <w:pPr>
              <w:pStyle w:val="TableParagraph"/>
              <w:spacing w:line="252" w:lineRule="exact" w:before="119"/>
              <w:ind w:left="107"/>
              <w:rPr>
                <w:b/>
                <w:sz w:val="22"/>
              </w:rPr>
            </w:pPr>
            <w:r>
              <w:rPr>
                <w:b/>
                <w:color w:val="4471C4"/>
                <w:sz w:val="22"/>
              </w:rPr>
              <w:t>Choice of infusion site</w:t>
            </w:r>
          </w:p>
          <w:p>
            <w:pPr>
              <w:pStyle w:val="TableParagraph"/>
              <w:numPr>
                <w:ilvl w:val="0"/>
                <w:numId w:val="5"/>
              </w:numPr>
              <w:tabs>
                <w:tab w:pos="284" w:val="left" w:leader="none"/>
                <w:tab w:pos="2192" w:val="left" w:leader="none"/>
                <w:tab w:pos="4327" w:val="left" w:leader="none"/>
                <w:tab w:pos="6861" w:val="left" w:leader="none"/>
              </w:tabs>
              <w:spacing w:line="229" w:lineRule="exact" w:before="0" w:after="0"/>
              <w:ind w:left="283" w:right="0" w:hanging="177"/>
              <w:jc w:val="left"/>
              <w:rPr>
                <w:sz w:val="20"/>
              </w:rPr>
            </w:pPr>
            <w:r>
              <w:rPr>
                <w:sz w:val="20"/>
              </w:rPr>
              <w:t>Anterior</w:t>
            </w:r>
            <w:r>
              <w:rPr>
                <w:spacing w:val="-4"/>
                <w:sz w:val="20"/>
              </w:rPr>
              <w:t> </w:t>
            </w:r>
            <w:r>
              <w:rPr>
                <w:sz w:val="20"/>
              </w:rPr>
              <w:t>chest</w:t>
            </w:r>
            <w:r>
              <w:rPr>
                <w:spacing w:val="-3"/>
                <w:sz w:val="20"/>
              </w:rPr>
              <w:t> </w:t>
            </w:r>
            <w:r>
              <w:rPr>
                <w:sz w:val="20"/>
              </w:rPr>
              <w:t>wall</w:t>
              <w:tab/>
              <w:t>● Lateral</w:t>
            </w:r>
            <w:r>
              <w:rPr>
                <w:spacing w:val="-5"/>
                <w:sz w:val="20"/>
              </w:rPr>
              <w:t> </w:t>
            </w:r>
            <w:r>
              <w:rPr>
                <w:sz w:val="20"/>
              </w:rPr>
              <w:t>upper</w:t>
            </w:r>
            <w:r>
              <w:rPr>
                <w:spacing w:val="-3"/>
                <w:sz w:val="20"/>
              </w:rPr>
              <w:t> </w:t>
            </w:r>
            <w:r>
              <w:rPr>
                <w:sz w:val="20"/>
              </w:rPr>
              <w:t>arms</w:t>
              <w:tab/>
              <w:t>● Anterior</w:t>
            </w:r>
            <w:r>
              <w:rPr>
                <w:spacing w:val="-5"/>
                <w:sz w:val="20"/>
              </w:rPr>
              <w:t> </w:t>
            </w:r>
            <w:r>
              <w:rPr>
                <w:sz w:val="20"/>
              </w:rPr>
              <w:t>abdominal</w:t>
            </w:r>
            <w:r>
              <w:rPr>
                <w:spacing w:val="-3"/>
                <w:sz w:val="20"/>
              </w:rPr>
              <w:t> </w:t>
            </w:r>
            <w:r>
              <w:rPr>
                <w:sz w:val="20"/>
              </w:rPr>
              <w:t>wall</w:t>
              <w:tab/>
              <w:t>● Anterior outer</w:t>
            </w:r>
            <w:r>
              <w:rPr>
                <w:spacing w:val="1"/>
                <w:sz w:val="20"/>
              </w:rPr>
              <w:t> </w:t>
            </w:r>
            <w:r>
              <w:rPr>
                <w:sz w:val="20"/>
              </w:rPr>
              <w:t>thighs</w:t>
            </w:r>
          </w:p>
          <w:p>
            <w:pPr>
              <w:pStyle w:val="TableParagraph"/>
              <w:numPr>
                <w:ilvl w:val="0"/>
                <w:numId w:val="5"/>
              </w:numPr>
              <w:tabs>
                <w:tab w:pos="284" w:val="left" w:leader="none"/>
              </w:tabs>
              <w:spacing w:line="240" w:lineRule="auto" w:before="1" w:after="0"/>
              <w:ind w:left="283" w:right="0" w:hanging="177"/>
              <w:jc w:val="left"/>
              <w:rPr>
                <w:sz w:val="20"/>
              </w:rPr>
            </w:pPr>
            <w:r>
              <w:rPr>
                <w:sz w:val="20"/>
              </w:rPr>
              <w:t>Back, away from spine &amp; scapula (in confused or disorientated</w:t>
            </w:r>
            <w:r>
              <w:rPr>
                <w:spacing w:val="-5"/>
                <w:sz w:val="20"/>
              </w:rPr>
              <w:t> </w:t>
            </w:r>
            <w:r>
              <w:rPr>
                <w:sz w:val="20"/>
              </w:rPr>
              <w:t>patients)</w:t>
            </w:r>
          </w:p>
          <w:p>
            <w:pPr>
              <w:pStyle w:val="TableParagraph"/>
              <w:spacing w:line="211" w:lineRule="exact" w:before="120"/>
              <w:ind w:left="107"/>
              <w:rPr>
                <w:sz w:val="20"/>
              </w:rPr>
            </w:pPr>
            <w:r>
              <w:rPr>
                <w:sz w:val="20"/>
              </w:rPr>
              <w:t>Avoid areas of inflammation, oedema, broken skin, bony prominences, recently irradiated areas, sites of tumour, sites of infection, skin folds or lymphoedema.</w:t>
            </w:r>
          </w:p>
        </w:tc>
      </w:tr>
    </w:tbl>
    <w:p>
      <w:pPr>
        <w:pStyle w:val="BodyText"/>
      </w:pPr>
    </w:p>
    <w:p>
      <w:pPr>
        <w:spacing w:before="163"/>
        <w:ind w:left="8562" w:right="0" w:firstLine="0"/>
        <w:jc w:val="left"/>
        <w:rPr>
          <w:rFonts w:ascii="Calibri"/>
          <w:i/>
          <w:sz w:val="20"/>
        </w:rPr>
      </w:pPr>
      <w:r>
        <w:rPr>
          <w:rFonts w:ascii="Calibri"/>
          <w:i/>
          <w:sz w:val="20"/>
        </w:rPr>
        <w:t>June 2025 PDF Version for completion by hand. Updates will be provided via your ICS</w:t>
      </w:r>
    </w:p>
    <w:sectPr>
      <w:pgSz w:w="16840" w:h="11910" w:orient="landscape"/>
      <w:pgMar w:top="260" w:bottom="0" w:left="48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83" w:hanging="176"/>
      </w:pPr>
      <w:rPr>
        <w:rFonts w:hint="default" w:ascii="Arial" w:hAnsi="Arial" w:eastAsia="Arial" w:cs="Arial"/>
        <w:w w:val="99"/>
        <w:sz w:val="20"/>
        <w:szCs w:val="20"/>
      </w:rPr>
    </w:lvl>
    <w:lvl w:ilvl="1">
      <w:start w:val="0"/>
      <w:numFmt w:val="bullet"/>
      <w:lvlText w:val="•"/>
      <w:lvlJc w:val="left"/>
      <w:pPr>
        <w:ind w:left="1739" w:hanging="176"/>
      </w:pPr>
      <w:rPr>
        <w:rFonts w:hint="default"/>
      </w:rPr>
    </w:lvl>
    <w:lvl w:ilvl="2">
      <w:start w:val="0"/>
      <w:numFmt w:val="bullet"/>
      <w:lvlText w:val="•"/>
      <w:lvlJc w:val="left"/>
      <w:pPr>
        <w:ind w:left="3198" w:hanging="176"/>
      </w:pPr>
      <w:rPr>
        <w:rFonts w:hint="default"/>
      </w:rPr>
    </w:lvl>
    <w:lvl w:ilvl="3">
      <w:start w:val="0"/>
      <w:numFmt w:val="bullet"/>
      <w:lvlText w:val="•"/>
      <w:lvlJc w:val="left"/>
      <w:pPr>
        <w:ind w:left="4657" w:hanging="176"/>
      </w:pPr>
      <w:rPr>
        <w:rFonts w:hint="default"/>
      </w:rPr>
    </w:lvl>
    <w:lvl w:ilvl="4">
      <w:start w:val="0"/>
      <w:numFmt w:val="bullet"/>
      <w:lvlText w:val="•"/>
      <w:lvlJc w:val="left"/>
      <w:pPr>
        <w:ind w:left="6116" w:hanging="176"/>
      </w:pPr>
      <w:rPr>
        <w:rFonts w:hint="default"/>
      </w:rPr>
    </w:lvl>
    <w:lvl w:ilvl="5">
      <w:start w:val="0"/>
      <w:numFmt w:val="bullet"/>
      <w:lvlText w:val="•"/>
      <w:lvlJc w:val="left"/>
      <w:pPr>
        <w:ind w:left="7576" w:hanging="176"/>
      </w:pPr>
      <w:rPr>
        <w:rFonts w:hint="default"/>
      </w:rPr>
    </w:lvl>
    <w:lvl w:ilvl="6">
      <w:start w:val="0"/>
      <w:numFmt w:val="bullet"/>
      <w:lvlText w:val="•"/>
      <w:lvlJc w:val="left"/>
      <w:pPr>
        <w:ind w:left="9035" w:hanging="176"/>
      </w:pPr>
      <w:rPr>
        <w:rFonts w:hint="default"/>
      </w:rPr>
    </w:lvl>
    <w:lvl w:ilvl="7">
      <w:start w:val="0"/>
      <w:numFmt w:val="bullet"/>
      <w:lvlText w:val="•"/>
      <w:lvlJc w:val="left"/>
      <w:pPr>
        <w:ind w:left="10494" w:hanging="176"/>
      </w:pPr>
      <w:rPr>
        <w:rFonts w:hint="default"/>
      </w:rPr>
    </w:lvl>
    <w:lvl w:ilvl="8">
      <w:start w:val="0"/>
      <w:numFmt w:val="bullet"/>
      <w:lvlText w:val="•"/>
      <w:lvlJc w:val="left"/>
      <w:pPr>
        <w:ind w:left="11953" w:hanging="176"/>
      </w:pPr>
      <w:rPr>
        <w:rFonts w:hint="default"/>
      </w:rPr>
    </w:lvl>
  </w:abstractNum>
  <w:abstractNum w:abstractNumId="3">
    <w:multiLevelType w:val="hybridMultilevel"/>
    <w:lvl w:ilvl="0">
      <w:start w:val="1"/>
      <w:numFmt w:val="decimal"/>
      <w:lvlText w:val="%1."/>
      <w:lvlJc w:val="left"/>
      <w:pPr>
        <w:ind w:left="520" w:hanging="356"/>
        <w:jc w:val="left"/>
      </w:pPr>
      <w:rPr>
        <w:rFonts w:hint="default"/>
        <w:spacing w:val="-1"/>
        <w:w w:val="99"/>
      </w:rPr>
    </w:lvl>
    <w:lvl w:ilvl="1">
      <w:start w:val="0"/>
      <w:numFmt w:val="bullet"/>
      <w:lvlText w:val="•"/>
      <w:lvlJc w:val="left"/>
      <w:pPr>
        <w:ind w:left="1118" w:hanging="356"/>
      </w:pPr>
      <w:rPr>
        <w:rFonts w:hint="default"/>
      </w:rPr>
    </w:lvl>
    <w:lvl w:ilvl="2">
      <w:start w:val="0"/>
      <w:numFmt w:val="bullet"/>
      <w:lvlText w:val="•"/>
      <w:lvlJc w:val="left"/>
      <w:pPr>
        <w:ind w:left="1717" w:hanging="356"/>
      </w:pPr>
      <w:rPr>
        <w:rFonts w:hint="default"/>
      </w:rPr>
    </w:lvl>
    <w:lvl w:ilvl="3">
      <w:start w:val="0"/>
      <w:numFmt w:val="bullet"/>
      <w:lvlText w:val="•"/>
      <w:lvlJc w:val="left"/>
      <w:pPr>
        <w:ind w:left="2316" w:hanging="356"/>
      </w:pPr>
      <w:rPr>
        <w:rFonts w:hint="default"/>
      </w:rPr>
    </w:lvl>
    <w:lvl w:ilvl="4">
      <w:start w:val="0"/>
      <w:numFmt w:val="bullet"/>
      <w:lvlText w:val="•"/>
      <w:lvlJc w:val="left"/>
      <w:pPr>
        <w:ind w:left="2915" w:hanging="356"/>
      </w:pPr>
      <w:rPr>
        <w:rFonts w:hint="default"/>
      </w:rPr>
    </w:lvl>
    <w:lvl w:ilvl="5">
      <w:start w:val="0"/>
      <w:numFmt w:val="bullet"/>
      <w:lvlText w:val="•"/>
      <w:lvlJc w:val="left"/>
      <w:pPr>
        <w:ind w:left="3514" w:hanging="356"/>
      </w:pPr>
      <w:rPr>
        <w:rFonts w:hint="default"/>
      </w:rPr>
    </w:lvl>
    <w:lvl w:ilvl="6">
      <w:start w:val="0"/>
      <w:numFmt w:val="bullet"/>
      <w:lvlText w:val="•"/>
      <w:lvlJc w:val="left"/>
      <w:pPr>
        <w:ind w:left="4113" w:hanging="356"/>
      </w:pPr>
      <w:rPr>
        <w:rFonts w:hint="default"/>
      </w:rPr>
    </w:lvl>
    <w:lvl w:ilvl="7">
      <w:start w:val="0"/>
      <w:numFmt w:val="bullet"/>
      <w:lvlText w:val="•"/>
      <w:lvlJc w:val="left"/>
      <w:pPr>
        <w:ind w:left="4712" w:hanging="356"/>
      </w:pPr>
      <w:rPr>
        <w:rFonts w:hint="default"/>
      </w:rPr>
    </w:lvl>
    <w:lvl w:ilvl="8">
      <w:start w:val="0"/>
      <w:numFmt w:val="bullet"/>
      <w:lvlText w:val="•"/>
      <w:lvlJc w:val="left"/>
      <w:pPr>
        <w:ind w:left="5311" w:hanging="356"/>
      </w:pPr>
      <w:rPr>
        <w:rFonts w:hint="default"/>
      </w:rPr>
    </w:lvl>
  </w:abstractNum>
  <w:abstractNum w:abstractNumId="2">
    <w:multiLevelType w:val="hybridMultilevel"/>
    <w:lvl w:ilvl="0">
      <w:start w:val="0"/>
      <w:numFmt w:val="bullet"/>
      <w:lvlText w:val=""/>
      <w:lvlJc w:val="left"/>
      <w:pPr>
        <w:ind w:left="568" w:hanging="428"/>
      </w:pPr>
      <w:rPr>
        <w:rFonts w:hint="default" w:ascii="Symbol" w:hAnsi="Symbol" w:eastAsia="Symbol" w:cs="Symbol"/>
        <w:w w:val="99"/>
        <w:sz w:val="20"/>
        <w:szCs w:val="20"/>
      </w:rPr>
    </w:lvl>
    <w:lvl w:ilvl="1">
      <w:start w:val="0"/>
      <w:numFmt w:val="bullet"/>
      <w:lvlText w:val="•"/>
      <w:lvlJc w:val="left"/>
      <w:pPr>
        <w:ind w:left="1339" w:hanging="428"/>
      </w:pPr>
      <w:rPr>
        <w:rFonts w:hint="default"/>
      </w:rPr>
    </w:lvl>
    <w:lvl w:ilvl="2">
      <w:start w:val="0"/>
      <w:numFmt w:val="bullet"/>
      <w:lvlText w:val="•"/>
      <w:lvlJc w:val="left"/>
      <w:pPr>
        <w:ind w:left="2118" w:hanging="428"/>
      </w:pPr>
      <w:rPr>
        <w:rFonts w:hint="default"/>
      </w:rPr>
    </w:lvl>
    <w:lvl w:ilvl="3">
      <w:start w:val="0"/>
      <w:numFmt w:val="bullet"/>
      <w:lvlText w:val="•"/>
      <w:lvlJc w:val="left"/>
      <w:pPr>
        <w:ind w:left="2897" w:hanging="428"/>
      </w:pPr>
      <w:rPr>
        <w:rFonts w:hint="default"/>
      </w:rPr>
    </w:lvl>
    <w:lvl w:ilvl="4">
      <w:start w:val="0"/>
      <w:numFmt w:val="bullet"/>
      <w:lvlText w:val="•"/>
      <w:lvlJc w:val="left"/>
      <w:pPr>
        <w:ind w:left="3677" w:hanging="428"/>
      </w:pPr>
      <w:rPr>
        <w:rFonts w:hint="default"/>
      </w:rPr>
    </w:lvl>
    <w:lvl w:ilvl="5">
      <w:start w:val="0"/>
      <w:numFmt w:val="bullet"/>
      <w:lvlText w:val="•"/>
      <w:lvlJc w:val="left"/>
      <w:pPr>
        <w:ind w:left="4456" w:hanging="428"/>
      </w:pPr>
      <w:rPr>
        <w:rFonts w:hint="default"/>
      </w:rPr>
    </w:lvl>
    <w:lvl w:ilvl="6">
      <w:start w:val="0"/>
      <w:numFmt w:val="bullet"/>
      <w:lvlText w:val="•"/>
      <w:lvlJc w:val="left"/>
      <w:pPr>
        <w:ind w:left="5235" w:hanging="428"/>
      </w:pPr>
      <w:rPr>
        <w:rFonts w:hint="default"/>
      </w:rPr>
    </w:lvl>
    <w:lvl w:ilvl="7">
      <w:start w:val="0"/>
      <w:numFmt w:val="bullet"/>
      <w:lvlText w:val="•"/>
      <w:lvlJc w:val="left"/>
      <w:pPr>
        <w:ind w:left="6015" w:hanging="428"/>
      </w:pPr>
      <w:rPr>
        <w:rFonts w:hint="default"/>
      </w:rPr>
    </w:lvl>
    <w:lvl w:ilvl="8">
      <w:start w:val="0"/>
      <w:numFmt w:val="bullet"/>
      <w:lvlText w:val="•"/>
      <w:lvlJc w:val="left"/>
      <w:pPr>
        <w:ind w:left="6794" w:hanging="428"/>
      </w:pPr>
      <w:rPr>
        <w:rFonts w:hint="default"/>
      </w:rPr>
    </w:lvl>
  </w:abstractNum>
  <w:abstractNum w:abstractNumId="1">
    <w:multiLevelType w:val="hybridMultilevel"/>
    <w:lvl w:ilvl="0">
      <w:start w:val="0"/>
      <w:numFmt w:val="bullet"/>
      <w:lvlText w:val=""/>
      <w:lvlJc w:val="left"/>
      <w:pPr>
        <w:ind w:left="535" w:hanging="360"/>
      </w:pPr>
      <w:rPr>
        <w:rFonts w:hint="default" w:ascii="Symbol" w:hAnsi="Symbol" w:eastAsia="Symbol" w:cs="Symbol"/>
        <w:w w:val="99"/>
        <w:sz w:val="20"/>
        <w:szCs w:val="20"/>
      </w:rPr>
    </w:lvl>
    <w:lvl w:ilvl="1">
      <w:start w:val="0"/>
      <w:numFmt w:val="bullet"/>
      <w:lvlText w:val="•"/>
      <w:lvlJc w:val="left"/>
      <w:pPr>
        <w:ind w:left="1136" w:hanging="360"/>
      </w:pPr>
      <w:rPr>
        <w:rFonts w:hint="default"/>
      </w:rPr>
    </w:lvl>
    <w:lvl w:ilvl="2">
      <w:start w:val="0"/>
      <w:numFmt w:val="bullet"/>
      <w:lvlText w:val="•"/>
      <w:lvlJc w:val="left"/>
      <w:pPr>
        <w:ind w:left="1733" w:hanging="360"/>
      </w:pPr>
      <w:rPr>
        <w:rFonts w:hint="default"/>
      </w:rPr>
    </w:lvl>
    <w:lvl w:ilvl="3">
      <w:start w:val="0"/>
      <w:numFmt w:val="bullet"/>
      <w:lvlText w:val="•"/>
      <w:lvlJc w:val="left"/>
      <w:pPr>
        <w:ind w:left="2330" w:hanging="360"/>
      </w:pPr>
      <w:rPr>
        <w:rFonts w:hint="default"/>
      </w:rPr>
    </w:lvl>
    <w:lvl w:ilvl="4">
      <w:start w:val="0"/>
      <w:numFmt w:val="bullet"/>
      <w:lvlText w:val="•"/>
      <w:lvlJc w:val="left"/>
      <w:pPr>
        <w:ind w:left="2927" w:hanging="360"/>
      </w:pPr>
      <w:rPr>
        <w:rFonts w:hint="default"/>
      </w:rPr>
    </w:lvl>
    <w:lvl w:ilvl="5">
      <w:start w:val="0"/>
      <w:numFmt w:val="bullet"/>
      <w:lvlText w:val="•"/>
      <w:lvlJc w:val="left"/>
      <w:pPr>
        <w:ind w:left="3524" w:hanging="360"/>
      </w:pPr>
      <w:rPr>
        <w:rFonts w:hint="default"/>
      </w:rPr>
    </w:lvl>
    <w:lvl w:ilvl="6">
      <w:start w:val="0"/>
      <w:numFmt w:val="bullet"/>
      <w:lvlText w:val="•"/>
      <w:lvlJc w:val="left"/>
      <w:pPr>
        <w:ind w:left="4121" w:hanging="360"/>
      </w:pPr>
      <w:rPr>
        <w:rFonts w:hint="default"/>
      </w:rPr>
    </w:lvl>
    <w:lvl w:ilvl="7">
      <w:start w:val="0"/>
      <w:numFmt w:val="bullet"/>
      <w:lvlText w:val="•"/>
      <w:lvlJc w:val="left"/>
      <w:pPr>
        <w:ind w:left="4718" w:hanging="360"/>
      </w:pPr>
      <w:rPr>
        <w:rFonts w:hint="default"/>
      </w:rPr>
    </w:lvl>
    <w:lvl w:ilvl="8">
      <w:start w:val="0"/>
      <w:numFmt w:val="bullet"/>
      <w:lvlText w:val="•"/>
      <w:lvlJc w:val="left"/>
      <w:pPr>
        <w:ind w:left="5315" w:hanging="360"/>
      </w:pPr>
      <w:rPr>
        <w:rFonts w:hint="default"/>
      </w:rPr>
    </w:lvl>
  </w:abstractNum>
  <w:abstractNum w:abstractNumId="0">
    <w:multiLevelType w:val="hybridMultilevel"/>
    <w:lvl w:ilvl="0">
      <w:start w:val="0"/>
      <w:numFmt w:val="bullet"/>
      <w:lvlText w:val=""/>
      <w:lvlJc w:val="left"/>
      <w:pPr>
        <w:ind w:left="535" w:hanging="360"/>
      </w:pPr>
      <w:rPr>
        <w:rFonts w:hint="default" w:ascii="Symbol" w:hAnsi="Symbol" w:eastAsia="Symbol" w:cs="Symbol"/>
        <w:w w:val="99"/>
        <w:sz w:val="20"/>
        <w:szCs w:val="20"/>
      </w:rPr>
    </w:lvl>
    <w:lvl w:ilvl="1">
      <w:start w:val="0"/>
      <w:numFmt w:val="bullet"/>
      <w:lvlText w:val="•"/>
      <w:lvlJc w:val="left"/>
      <w:pPr>
        <w:ind w:left="1321" w:hanging="360"/>
      </w:pPr>
      <w:rPr>
        <w:rFonts w:hint="default"/>
      </w:rPr>
    </w:lvl>
    <w:lvl w:ilvl="2">
      <w:start w:val="0"/>
      <w:numFmt w:val="bullet"/>
      <w:lvlText w:val="•"/>
      <w:lvlJc w:val="left"/>
      <w:pPr>
        <w:ind w:left="2102" w:hanging="360"/>
      </w:pPr>
      <w:rPr>
        <w:rFonts w:hint="default"/>
      </w:rPr>
    </w:lvl>
    <w:lvl w:ilvl="3">
      <w:start w:val="0"/>
      <w:numFmt w:val="bullet"/>
      <w:lvlText w:val="•"/>
      <w:lvlJc w:val="left"/>
      <w:pPr>
        <w:ind w:left="2883" w:hanging="360"/>
      </w:pPr>
      <w:rPr>
        <w:rFonts w:hint="default"/>
      </w:rPr>
    </w:lvl>
    <w:lvl w:ilvl="4">
      <w:start w:val="0"/>
      <w:numFmt w:val="bullet"/>
      <w:lvlText w:val="•"/>
      <w:lvlJc w:val="left"/>
      <w:pPr>
        <w:ind w:left="3665" w:hanging="360"/>
      </w:pPr>
      <w:rPr>
        <w:rFonts w:hint="default"/>
      </w:rPr>
    </w:lvl>
    <w:lvl w:ilvl="5">
      <w:start w:val="0"/>
      <w:numFmt w:val="bullet"/>
      <w:lvlText w:val="•"/>
      <w:lvlJc w:val="left"/>
      <w:pPr>
        <w:ind w:left="4446" w:hanging="360"/>
      </w:pPr>
      <w:rPr>
        <w:rFonts w:hint="default"/>
      </w:rPr>
    </w:lvl>
    <w:lvl w:ilvl="6">
      <w:start w:val="0"/>
      <w:numFmt w:val="bullet"/>
      <w:lvlText w:val="•"/>
      <w:lvlJc w:val="left"/>
      <w:pPr>
        <w:ind w:left="5227" w:hanging="360"/>
      </w:pPr>
      <w:rPr>
        <w:rFonts w:hint="default"/>
      </w:rPr>
    </w:lvl>
    <w:lvl w:ilvl="7">
      <w:start w:val="0"/>
      <w:numFmt w:val="bullet"/>
      <w:lvlText w:val="•"/>
      <w:lvlJc w:val="left"/>
      <w:pPr>
        <w:ind w:left="6009" w:hanging="360"/>
      </w:pPr>
      <w:rPr>
        <w:rFonts w:hint="default"/>
      </w:rPr>
    </w:lvl>
    <w:lvl w:ilvl="8">
      <w:start w:val="0"/>
      <w:numFmt w:val="bullet"/>
      <w:lvlText w:val="•"/>
      <w:lvlJc w:val="left"/>
      <w:pPr>
        <w:ind w:left="6790"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30"/>
      <w:ind w:left="523"/>
      <w:outlineLvl w:val="1"/>
    </w:pPr>
    <w:rPr>
      <w:rFonts w:ascii="Times New Roman" w:hAnsi="Times New Roman" w:eastAsia="Times New Roman" w:cs="Times New Roman"/>
      <w:b/>
      <w:bCs/>
      <w: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futureplanning.org.uk/EoLmedsworkshee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2026-03-25T11:23:42Z</dcterms:created>
  <dcterms:modified xsi:type="dcterms:W3CDTF">2026-03-25T11:23:42Z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LastSaved">
    <vt:filetime>2026-03-25T00:00:00Z</vt:filetime>
  </property>
</Properties>
</file>